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1120"/>
        <w:rPr>
          <w:rFonts w:asciiTheme="minorEastAsia" w:hAnsiTheme="minorEastAsia" w:eastAsiaTheme="minorEastAsia"/>
          <w:b/>
          <w:sz w:val="32"/>
          <w:szCs w:val="32"/>
        </w:rPr>
      </w:pPr>
      <w:r>
        <w:rPr>
          <w:rFonts w:asciiTheme="minorEastAsia" w:hAnsiTheme="minorEastAsia" w:eastAsiaTheme="minorEastAsia"/>
          <w:b/>
          <w:sz w:val="32"/>
          <w:szCs w:val="32"/>
        </w:rPr>
        <w:t>华南农业大学农学院本科生综合测评</w:t>
      </w:r>
      <w:r>
        <w:rPr>
          <w:rFonts w:hint="eastAsia" w:asciiTheme="minorEastAsia" w:hAnsiTheme="minorEastAsia" w:eastAsiaTheme="minorEastAsia"/>
          <w:b/>
          <w:sz w:val="32"/>
          <w:szCs w:val="32"/>
        </w:rPr>
        <w:t>补充</w:t>
      </w:r>
      <w:r>
        <w:rPr>
          <w:rFonts w:asciiTheme="minorEastAsia" w:hAnsiTheme="minorEastAsia" w:eastAsiaTheme="minorEastAsia"/>
          <w:b/>
          <w:sz w:val="32"/>
          <w:szCs w:val="32"/>
        </w:rPr>
        <w:t>细则</w:t>
      </w:r>
    </w:p>
    <w:p>
      <w:pPr>
        <w:spacing w:line="440" w:lineRule="exact"/>
        <w:ind w:left="1120"/>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 xml:space="preserve">      （2020年1月3日定稿）</w:t>
      </w:r>
    </w:p>
    <w:p>
      <w:pPr>
        <w:spacing w:line="440" w:lineRule="exact"/>
        <w:rPr>
          <w:rFonts w:asciiTheme="minorEastAsia" w:hAnsiTheme="minorEastAsia" w:eastAsiaTheme="minorEastAsia"/>
          <w:sz w:val="28"/>
          <w:szCs w:val="28"/>
        </w:rPr>
      </w:pPr>
    </w:p>
    <w:p>
      <w:pPr>
        <w:spacing w:line="440" w:lineRule="exact"/>
        <w:ind w:left="3240"/>
        <w:rPr>
          <w:rFonts w:asciiTheme="minorEastAsia" w:hAnsiTheme="minorEastAsia" w:eastAsiaTheme="minorEastAsia"/>
          <w:b/>
          <w:sz w:val="28"/>
          <w:szCs w:val="28"/>
        </w:rPr>
      </w:pPr>
      <w:r>
        <w:rPr>
          <w:rFonts w:asciiTheme="minorEastAsia" w:hAnsiTheme="minorEastAsia" w:eastAsiaTheme="minorEastAsia"/>
          <w:b/>
          <w:sz w:val="28"/>
          <w:szCs w:val="28"/>
        </w:rPr>
        <w:t>第一章 总则</w:t>
      </w:r>
    </w:p>
    <w:p>
      <w:pPr>
        <w:spacing w:line="440" w:lineRule="exact"/>
        <w:jc w:val="both"/>
        <w:rPr>
          <w:rFonts w:asciiTheme="minorEastAsia" w:hAnsiTheme="minorEastAsia" w:eastAsiaTheme="minorEastAsia"/>
          <w:color w:val="FF0000"/>
          <w:sz w:val="28"/>
          <w:szCs w:val="28"/>
        </w:rPr>
      </w:pPr>
      <w:r>
        <w:rPr>
          <w:rFonts w:hint="eastAsia" w:asciiTheme="minorEastAsia" w:hAnsiTheme="minorEastAsia" w:eastAsiaTheme="minorEastAsia"/>
          <w:b/>
          <w:sz w:val="28"/>
          <w:szCs w:val="28"/>
        </w:rPr>
        <w:t xml:space="preserve">    </w:t>
      </w:r>
      <w:r>
        <w:rPr>
          <w:rFonts w:asciiTheme="minorEastAsia" w:hAnsiTheme="minorEastAsia" w:eastAsiaTheme="minorEastAsia"/>
          <w:b/>
          <w:sz w:val="28"/>
          <w:szCs w:val="28"/>
        </w:rPr>
        <w:t xml:space="preserve">第一条 </w:t>
      </w:r>
      <w:r>
        <w:rPr>
          <w:rFonts w:asciiTheme="minorEastAsia" w:hAnsiTheme="minorEastAsia" w:eastAsiaTheme="minorEastAsia"/>
          <w:sz w:val="28"/>
          <w:szCs w:val="28"/>
        </w:rPr>
        <w:t>为规范我院本科生综合测评及年度评优工作，根据《华南农业大学本科生综合测评及评优实施办法》(华农党发[2017]46 号)，结合我院学生工作实际</w:t>
      </w:r>
      <w:r>
        <w:rPr>
          <w:rFonts w:asciiTheme="minorEastAsia" w:hAnsiTheme="minorEastAsia" w:eastAsiaTheme="minorEastAsia"/>
          <w:color w:val="auto"/>
          <w:sz w:val="28"/>
          <w:szCs w:val="28"/>
        </w:rPr>
        <w:t>情况，</w:t>
      </w:r>
      <w:r>
        <w:rPr>
          <w:rFonts w:hint="eastAsia" w:asciiTheme="minorEastAsia" w:hAnsiTheme="minorEastAsia" w:eastAsiaTheme="minorEastAsia"/>
          <w:color w:val="auto"/>
          <w:sz w:val="28"/>
          <w:szCs w:val="28"/>
        </w:rPr>
        <w:t>对具体实施细则作必要补充</w:t>
      </w:r>
      <w:r>
        <w:rPr>
          <w:rFonts w:asciiTheme="minorEastAsia" w:hAnsiTheme="minorEastAsia" w:eastAsiaTheme="minorEastAsia"/>
          <w:color w:val="auto"/>
          <w:sz w:val="28"/>
          <w:szCs w:val="28"/>
        </w:rPr>
        <w:t>。</w:t>
      </w:r>
    </w:p>
    <w:p>
      <w:pPr>
        <w:spacing w:line="440" w:lineRule="exact"/>
        <w:rPr>
          <w:rFonts w:asciiTheme="minorEastAsia" w:hAnsiTheme="minorEastAsia" w:eastAsiaTheme="minorEastAsia"/>
          <w:sz w:val="28"/>
          <w:szCs w:val="28"/>
        </w:rPr>
      </w:pPr>
    </w:p>
    <w:p>
      <w:pPr>
        <w:spacing w:line="440" w:lineRule="exact"/>
        <w:ind w:left="1960"/>
        <w:rPr>
          <w:rFonts w:asciiTheme="minorEastAsia" w:hAnsiTheme="minorEastAsia" w:eastAsiaTheme="minorEastAsia"/>
          <w:b/>
          <w:sz w:val="28"/>
          <w:szCs w:val="28"/>
        </w:rPr>
      </w:pPr>
      <w:r>
        <w:rPr>
          <w:rFonts w:asciiTheme="minorEastAsia" w:hAnsiTheme="minorEastAsia" w:eastAsiaTheme="minorEastAsia"/>
          <w:b/>
          <w:sz w:val="28"/>
          <w:szCs w:val="28"/>
        </w:rPr>
        <w:t>第二章 综合测评的项目及评分标准</w:t>
      </w:r>
    </w:p>
    <w:p>
      <w:pPr>
        <w:spacing w:line="440" w:lineRule="exact"/>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w:t>
      </w:r>
      <w:r>
        <w:rPr>
          <w:rFonts w:asciiTheme="minorEastAsia" w:hAnsiTheme="minorEastAsia" w:eastAsiaTheme="minorEastAsia"/>
          <w:b/>
          <w:sz w:val="28"/>
          <w:szCs w:val="28"/>
        </w:rPr>
        <w:t>第二条</w:t>
      </w:r>
      <w:r>
        <w:rPr>
          <w:rFonts w:hint="eastAsia" w:asciiTheme="minorEastAsia" w:hAnsiTheme="minorEastAsia" w:eastAsiaTheme="minorEastAsia"/>
          <w:b/>
          <w:sz w:val="28"/>
          <w:szCs w:val="28"/>
        </w:rPr>
        <w:t xml:space="preserve"> </w:t>
      </w:r>
      <w:r>
        <w:rPr>
          <w:rFonts w:asciiTheme="minorEastAsia" w:hAnsiTheme="minorEastAsia" w:eastAsiaTheme="minorEastAsia"/>
          <w:sz w:val="28"/>
          <w:szCs w:val="28"/>
        </w:rPr>
        <w:t>德育奖励加分补充说明</w:t>
      </w:r>
    </w:p>
    <w:p>
      <w:pPr>
        <w:spacing w:line="440" w:lineRule="exact"/>
        <w:rPr>
          <w:rFonts w:asciiTheme="minorEastAsia" w:hAnsiTheme="minorEastAsia" w:eastAsiaTheme="minorEastAsia"/>
          <w:b/>
          <w:sz w:val="28"/>
          <w:szCs w:val="28"/>
        </w:rPr>
      </w:pPr>
      <w:r>
        <w:rPr>
          <w:rFonts w:asciiTheme="minorEastAsia" w:hAnsiTheme="minorEastAsia" w:eastAsiaTheme="minorEastAsia"/>
          <w:b/>
          <w:sz w:val="28"/>
          <w:szCs w:val="28"/>
        </w:rPr>
        <w:t>1、荣誉称号补充说明</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（1）个人荣誉称号加分补充</w:t>
      </w:r>
    </w:p>
    <w:p>
      <w:pPr>
        <w:spacing w:line="440" w:lineRule="exact"/>
        <w:ind w:right="159"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华南农业大学校广播台、校通讯社、社联、校勤工助学、校报记者社、校红会、校青志评出的荣誉称号，</w:t>
      </w:r>
      <w:r>
        <w:rPr>
          <w:rFonts w:hint="eastAsia" w:asciiTheme="minorEastAsia" w:hAnsiTheme="minorEastAsia" w:eastAsiaTheme="minorEastAsia"/>
          <w:sz w:val="28"/>
          <w:szCs w:val="28"/>
        </w:rPr>
        <w:t>参照</w:t>
      </w:r>
      <w:r>
        <w:rPr>
          <w:rFonts w:asciiTheme="minorEastAsia" w:hAnsiTheme="minorEastAsia" w:eastAsiaTheme="minorEastAsia"/>
          <w:sz w:val="28"/>
          <w:szCs w:val="28"/>
        </w:rPr>
        <w:t>《华南农业大学本科生综合测评及评优实施办法》(华农党发[2017]46 号)院级标准</w:t>
      </w:r>
      <w:r>
        <w:rPr>
          <w:rFonts w:hint="eastAsia" w:asciiTheme="minorEastAsia" w:hAnsiTheme="minorEastAsia" w:eastAsiaTheme="minorEastAsia"/>
          <w:sz w:val="28"/>
          <w:szCs w:val="28"/>
        </w:rPr>
        <w:t>。</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（2）集体荣誉称号加分补充</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4"/>
        <w:gridCol w:w="2178"/>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1" w:type="pct"/>
          </w:tcPr>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荣誉称号</w:t>
            </w:r>
          </w:p>
        </w:tc>
        <w:tc>
          <w:tcPr>
            <w:tcW w:w="1276" w:type="pct"/>
          </w:tcPr>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荣誉级别</w:t>
            </w:r>
          </w:p>
        </w:tc>
        <w:tc>
          <w:tcPr>
            <w:tcW w:w="1443" w:type="pct"/>
          </w:tcPr>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1" w:type="pct"/>
            <w:vMerge w:val="restart"/>
          </w:tcPr>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先进党支部</w:t>
            </w:r>
          </w:p>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先进团支部</w:t>
            </w:r>
          </w:p>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先进班集体</w:t>
            </w:r>
          </w:p>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文明宿舍</w:t>
            </w:r>
          </w:p>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模范引领计划先进集体</w:t>
            </w:r>
          </w:p>
          <w:p>
            <w:pPr>
              <w:spacing w:line="440" w:lineRule="exact"/>
              <w:ind w:left="48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五四表彰荣获先进或优秀的组织集体</w:t>
            </w:r>
          </w:p>
          <w:p>
            <w:pPr>
              <w:spacing w:line="440" w:lineRule="exact"/>
              <w:ind w:left="48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活力在基层类项目获奖</w:t>
            </w:r>
          </w:p>
        </w:tc>
        <w:tc>
          <w:tcPr>
            <w:tcW w:w="1276" w:type="pct"/>
          </w:tcPr>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国家级</w:t>
            </w:r>
          </w:p>
        </w:tc>
        <w:tc>
          <w:tcPr>
            <w:tcW w:w="1443" w:type="pct"/>
          </w:tcPr>
          <w:p>
            <w:pPr>
              <w:spacing w:line="440" w:lineRule="exact"/>
              <w:ind w:left="480"/>
              <w:rPr>
                <w:rFonts w:asciiTheme="minorEastAsia" w:hAnsiTheme="minorEastAsia" w:eastAsiaTheme="minorEastAsia"/>
                <w:sz w:val="28"/>
                <w:szCs w:val="28"/>
              </w:rPr>
            </w:pPr>
            <w:r>
              <w:rPr>
                <w:rFonts w:asciiTheme="minorEastAsia" w:hAnsiTheme="minorEastAsia" w:eastAsia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1" w:type="pct"/>
            <w:vMerge w:val="continue"/>
          </w:tcPr>
          <w:p>
            <w:pPr>
              <w:spacing w:line="440" w:lineRule="exact"/>
              <w:ind w:left="480"/>
              <w:rPr>
                <w:rFonts w:asciiTheme="minorEastAsia" w:hAnsiTheme="minorEastAsia" w:eastAsiaTheme="minorEastAsia"/>
                <w:sz w:val="28"/>
                <w:szCs w:val="28"/>
              </w:rPr>
            </w:pPr>
          </w:p>
        </w:tc>
        <w:tc>
          <w:tcPr>
            <w:tcW w:w="1276" w:type="pct"/>
          </w:tcPr>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省部级</w:t>
            </w:r>
          </w:p>
        </w:tc>
        <w:tc>
          <w:tcPr>
            <w:tcW w:w="1443" w:type="pct"/>
          </w:tcPr>
          <w:p>
            <w:pPr>
              <w:spacing w:line="440" w:lineRule="exact"/>
              <w:ind w:left="480"/>
              <w:rPr>
                <w:rFonts w:asciiTheme="minorEastAsia" w:hAnsiTheme="minorEastAsia" w:eastAsiaTheme="minorEastAsia"/>
                <w:sz w:val="28"/>
                <w:szCs w:val="28"/>
              </w:rPr>
            </w:pPr>
            <w:r>
              <w:rPr>
                <w:rFonts w:asciiTheme="minorEastAsia" w:hAnsiTheme="minorEastAsia" w:eastAsiaTheme="min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1" w:type="pct"/>
            <w:vMerge w:val="continue"/>
          </w:tcPr>
          <w:p>
            <w:pPr>
              <w:spacing w:line="440" w:lineRule="exact"/>
              <w:ind w:left="480"/>
              <w:rPr>
                <w:rFonts w:asciiTheme="minorEastAsia" w:hAnsiTheme="minorEastAsia" w:eastAsiaTheme="minorEastAsia"/>
                <w:sz w:val="28"/>
                <w:szCs w:val="28"/>
              </w:rPr>
            </w:pPr>
          </w:p>
        </w:tc>
        <w:tc>
          <w:tcPr>
            <w:tcW w:w="1276" w:type="pct"/>
          </w:tcPr>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市、校级</w:t>
            </w:r>
          </w:p>
        </w:tc>
        <w:tc>
          <w:tcPr>
            <w:tcW w:w="1443" w:type="pct"/>
          </w:tcPr>
          <w:p>
            <w:pPr>
              <w:spacing w:line="440" w:lineRule="exact"/>
              <w:ind w:left="480"/>
              <w:rPr>
                <w:rFonts w:asciiTheme="minorEastAsia" w:hAnsiTheme="minorEastAsia" w:eastAsiaTheme="minorEastAsia"/>
                <w:sz w:val="28"/>
                <w:szCs w:val="28"/>
              </w:rPr>
            </w:pPr>
            <w:r>
              <w:rPr>
                <w:rFonts w:asciiTheme="minorEastAsia" w:hAnsiTheme="minorEastAsia" w:eastAsiaTheme="minorEastAsia"/>
                <w:sz w:val="28"/>
                <w:szCs w:val="28"/>
              </w:rPr>
              <w:t>0</w:t>
            </w:r>
            <w:r>
              <w:rPr>
                <w:rFonts w:hint="eastAsia" w:asciiTheme="minorEastAsia" w:hAnsiTheme="minorEastAsia" w:eastAsiaTheme="minorEastAsia"/>
                <w:sz w:val="28"/>
                <w:szCs w:val="28"/>
              </w:rPr>
              <w:t>.</w:t>
            </w:r>
            <w:r>
              <w:rPr>
                <w:rFonts w:asciiTheme="minorEastAsia" w:hAnsiTheme="minorEastAsia" w:eastAsia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pct"/>
            <w:vMerge w:val="continue"/>
          </w:tcPr>
          <w:p>
            <w:pPr>
              <w:spacing w:line="440" w:lineRule="exact"/>
              <w:ind w:left="480"/>
              <w:rPr>
                <w:rFonts w:asciiTheme="minorEastAsia" w:hAnsiTheme="minorEastAsia" w:eastAsiaTheme="minorEastAsia"/>
                <w:sz w:val="28"/>
                <w:szCs w:val="28"/>
              </w:rPr>
            </w:pPr>
          </w:p>
        </w:tc>
        <w:tc>
          <w:tcPr>
            <w:tcW w:w="1276" w:type="pct"/>
          </w:tcPr>
          <w:p>
            <w:pPr>
              <w:spacing w:line="44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院级</w:t>
            </w:r>
          </w:p>
        </w:tc>
        <w:tc>
          <w:tcPr>
            <w:tcW w:w="1443" w:type="pct"/>
          </w:tcPr>
          <w:p>
            <w:pPr>
              <w:spacing w:line="440" w:lineRule="exact"/>
              <w:ind w:left="480"/>
              <w:rPr>
                <w:rFonts w:asciiTheme="minorEastAsia" w:hAnsiTheme="minorEastAsia" w:eastAsiaTheme="minorEastAsia"/>
                <w:sz w:val="28"/>
                <w:szCs w:val="28"/>
              </w:rPr>
            </w:pPr>
            <w:r>
              <w:rPr>
                <w:rFonts w:asciiTheme="minorEastAsia" w:hAnsiTheme="minorEastAsia" w:eastAsiaTheme="minorEastAsia"/>
                <w:sz w:val="28"/>
                <w:szCs w:val="28"/>
              </w:rPr>
              <w:t>0</w:t>
            </w:r>
            <w:r>
              <w:rPr>
                <w:rFonts w:hint="eastAsia" w:asciiTheme="minorEastAsia" w:hAnsiTheme="minorEastAsia" w:eastAsiaTheme="minorEastAsia"/>
                <w:sz w:val="28"/>
                <w:szCs w:val="28"/>
              </w:rPr>
              <w:t>.</w:t>
            </w:r>
            <w:r>
              <w:rPr>
                <w:rFonts w:asciiTheme="minorEastAsia" w:hAnsiTheme="minorEastAsia" w:eastAsiaTheme="minorEastAsia"/>
                <w:sz w:val="28"/>
                <w:szCs w:val="28"/>
              </w:rPr>
              <w:t>25</w:t>
            </w:r>
          </w:p>
        </w:tc>
      </w:tr>
    </w:tbl>
    <w:p>
      <w:pPr>
        <w:numPr>
          <w:ilvl w:val="0"/>
          <w:numId w:val="1"/>
        </w:num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参加学校学院举办的培训班（</w:t>
      </w:r>
      <w:r>
        <w:rPr>
          <w:rFonts w:hint="eastAsia" w:asciiTheme="minorEastAsia" w:hAnsiTheme="minorEastAsia" w:eastAsiaTheme="minorEastAsia"/>
          <w:sz w:val="28"/>
          <w:szCs w:val="28"/>
        </w:rPr>
        <w:t>如</w:t>
      </w:r>
      <w:r>
        <w:rPr>
          <w:rFonts w:asciiTheme="minorEastAsia" w:hAnsiTheme="minorEastAsia" w:eastAsiaTheme="minorEastAsia"/>
          <w:sz w:val="28"/>
          <w:szCs w:val="28"/>
        </w:rPr>
        <w:t>新生骨干培训、青马班、党校培训班等）被评为优秀，此项不予加分。</w:t>
      </w:r>
    </w:p>
    <w:p>
      <w:pPr>
        <w:numPr>
          <w:ilvl w:val="0"/>
          <w:numId w:val="1"/>
        </w:numPr>
        <w:spacing w:line="440" w:lineRule="exac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对于不设置等级的优秀奖的加分若无特别说明，则参考相应类别的二等奖的加分。</w:t>
      </w:r>
    </w:p>
    <w:p>
      <w:pPr>
        <w:spacing w:line="440" w:lineRule="exact"/>
        <w:rPr>
          <w:rFonts w:asciiTheme="minorEastAsia" w:hAnsiTheme="minorEastAsia" w:eastAsiaTheme="minorEastAsia"/>
          <w:b/>
          <w:sz w:val="28"/>
          <w:szCs w:val="28"/>
        </w:rPr>
      </w:pPr>
      <w:r>
        <w:rPr>
          <w:rFonts w:asciiTheme="minorEastAsia" w:hAnsiTheme="minorEastAsia" w:eastAsiaTheme="minorEastAsia"/>
          <w:b/>
          <w:sz w:val="28"/>
          <w:szCs w:val="28"/>
        </w:rPr>
        <w:t>2、社会工作加分补充说明</w:t>
      </w:r>
    </w:p>
    <w:p>
      <w:pPr>
        <w:spacing w:line="440" w:lineRule="exact"/>
        <w:ind w:left="48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农学院学生组织一览表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8"/>
        <w:gridCol w:w="4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8" w:type="dxa"/>
          </w:tcPr>
          <w:p>
            <w:pPr>
              <w:spacing w:line="440" w:lineRule="exact"/>
              <w:ind w:right="240"/>
              <w:rPr>
                <w:rFonts w:asciiTheme="minorEastAsia" w:hAnsiTheme="minorEastAsia" w:eastAsiaTheme="minorEastAsia"/>
                <w:sz w:val="28"/>
                <w:szCs w:val="28"/>
              </w:rPr>
            </w:pPr>
            <w:r>
              <w:rPr>
                <w:rFonts w:hint="eastAsia" w:asciiTheme="minorEastAsia" w:hAnsiTheme="minorEastAsia" w:eastAsiaTheme="minorEastAsia"/>
                <w:sz w:val="28"/>
                <w:szCs w:val="28"/>
              </w:rPr>
              <w:t>院一级学生组织</w:t>
            </w:r>
          </w:p>
        </w:tc>
        <w:tc>
          <w:tcPr>
            <w:tcW w:w="4268" w:type="dxa"/>
          </w:tcPr>
          <w:p>
            <w:pPr>
              <w:spacing w:line="440" w:lineRule="exact"/>
              <w:ind w:right="240"/>
              <w:rPr>
                <w:rFonts w:asciiTheme="minorEastAsia" w:hAnsiTheme="minorEastAsia" w:eastAsiaTheme="minorEastAsia"/>
                <w:sz w:val="28"/>
                <w:szCs w:val="28"/>
              </w:rPr>
            </w:pPr>
            <w:r>
              <w:rPr>
                <w:rFonts w:hint="eastAsia" w:asciiTheme="minorEastAsia" w:hAnsiTheme="minorEastAsia" w:eastAsiaTheme="minorEastAsia"/>
                <w:sz w:val="28"/>
                <w:szCs w:val="28"/>
              </w:rPr>
              <w:t>团委学生会、学生发展与创新创业中心、党务管理委员会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8" w:type="dxa"/>
          </w:tcPr>
          <w:p>
            <w:pPr>
              <w:spacing w:line="440" w:lineRule="exact"/>
              <w:ind w:right="240"/>
              <w:rPr>
                <w:rFonts w:asciiTheme="minorEastAsia" w:hAnsiTheme="minorEastAsia" w:eastAsiaTheme="minorEastAsia"/>
                <w:sz w:val="28"/>
                <w:szCs w:val="28"/>
              </w:rPr>
            </w:pPr>
            <w:r>
              <w:rPr>
                <w:rFonts w:hint="eastAsia" w:asciiTheme="minorEastAsia" w:hAnsiTheme="minorEastAsia" w:eastAsiaTheme="minorEastAsia"/>
                <w:sz w:val="28"/>
                <w:szCs w:val="28"/>
              </w:rPr>
              <w:t>院二级学生组织</w:t>
            </w:r>
          </w:p>
        </w:tc>
        <w:tc>
          <w:tcPr>
            <w:tcW w:w="4268" w:type="dxa"/>
          </w:tcPr>
          <w:p>
            <w:pPr>
              <w:spacing w:line="440" w:lineRule="exact"/>
              <w:ind w:right="24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rPr>
              <w:t>教学信息委员会、阳光驿站、青志、红会</w:t>
            </w:r>
            <w:r>
              <w:rPr>
                <w:rFonts w:hint="eastAsia" w:asciiTheme="minorEastAsia" w:hAnsiTheme="minorEastAsia" w:eastAsiaTheme="minorEastAsia"/>
                <w:sz w:val="28"/>
                <w:szCs w:val="28"/>
              </w:rPr>
              <w:t>、</w:t>
            </w:r>
            <w:r>
              <w:rPr>
                <w:rFonts w:asciiTheme="minorEastAsia" w:hAnsiTheme="minorEastAsia" w:eastAsiaTheme="minorEastAsia"/>
                <w:sz w:val="28"/>
                <w:szCs w:val="28"/>
              </w:rPr>
              <w:t>奖助学</w:t>
            </w:r>
            <w:r>
              <w:rPr>
                <w:rFonts w:hint="eastAsia" w:asciiTheme="minorEastAsia" w:hAnsiTheme="minorEastAsia" w:eastAsiaTheme="minorEastAsia"/>
                <w:sz w:val="28"/>
                <w:szCs w:val="28"/>
              </w:rPr>
              <w:t>勤工中心</w:t>
            </w:r>
            <w:r>
              <w:rPr>
                <w:rFonts w:hint="eastAsia" w:asciiTheme="minorEastAsia" w:hAnsiTheme="minorEastAsia" w:eastAsiaTheme="minorEastAsia"/>
                <w:sz w:val="28"/>
                <w:szCs w:val="28"/>
                <w:lang w:eastAsia="zh-CN"/>
              </w:rPr>
              <w:t>，就业指导中心学生团队</w:t>
            </w:r>
          </w:p>
        </w:tc>
      </w:tr>
    </w:tbl>
    <w:p>
      <w:pPr>
        <w:spacing w:line="440" w:lineRule="exact"/>
        <w:ind w:right="24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（1）农学院一级组织正副职学生干部加2分；正副部长级学生干部加 1.5 分；委员（干事）加 1分         </w:t>
      </w:r>
    </w:p>
    <w:p>
      <w:pPr>
        <w:spacing w:line="440" w:lineRule="exact"/>
        <w:ind w:right="240"/>
        <w:rPr>
          <w:rFonts w:asciiTheme="minorEastAsia" w:hAnsiTheme="minorEastAsia" w:eastAsiaTheme="minorEastAsia"/>
          <w:sz w:val="28"/>
          <w:szCs w:val="28"/>
        </w:rPr>
      </w:pPr>
      <w:r>
        <w:rPr>
          <w:rFonts w:asciiTheme="minorEastAsia" w:hAnsiTheme="minorEastAsia" w:eastAsiaTheme="minorEastAsia"/>
          <w:sz w:val="28"/>
          <w:szCs w:val="28"/>
        </w:rPr>
        <w:t>（2）农学院二级组织正副职学生干部加 1.5 分；正副部长级学生干部加 1 分；委员（干事）加 0.5 分。</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（3）级委</w:t>
      </w:r>
      <w:r>
        <w:rPr>
          <w:rFonts w:hint="eastAsia" w:asciiTheme="minorEastAsia" w:hAnsiTheme="minorEastAsia" w:eastAsiaTheme="minorEastAsia"/>
          <w:sz w:val="28"/>
          <w:szCs w:val="28"/>
        </w:rPr>
        <w:t>加1.5分，</w:t>
      </w:r>
      <w:r>
        <w:rPr>
          <w:rFonts w:hint="eastAsia" w:asciiTheme="minorEastAsia" w:hAnsiTheme="minorEastAsia" w:eastAsiaTheme="minorEastAsia"/>
          <w:sz w:val="28"/>
          <w:szCs w:val="28"/>
          <w:lang w:eastAsia="zh-CN"/>
        </w:rPr>
        <w:t>心理助班（原</w:t>
      </w:r>
      <w:r>
        <w:rPr>
          <w:rFonts w:hint="eastAsia" w:asciiTheme="minorEastAsia" w:hAnsiTheme="minorEastAsia" w:eastAsiaTheme="minorEastAsia"/>
          <w:sz w:val="28"/>
          <w:szCs w:val="28"/>
        </w:rPr>
        <w:t>阳光员</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加1分</w:t>
      </w:r>
      <w:r>
        <w:rPr>
          <w:rFonts w:asciiTheme="minorEastAsia" w:hAnsiTheme="minorEastAsia" w:eastAsiaTheme="minorEastAsia"/>
          <w:sz w:val="28"/>
          <w:szCs w:val="28"/>
        </w:rPr>
        <w:t>。</w:t>
      </w:r>
    </w:p>
    <w:p>
      <w:pPr>
        <w:spacing w:line="440" w:lineRule="exact"/>
        <w:ind w:left="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）关于教官团的加分规定</w:t>
      </w:r>
    </w:p>
    <w:p>
      <w:pPr>
        <w:spacing w:line="440" w:lineRule="exact"/>
        <w:ind w:left="0" w:firstLine="840" w:firstLineChars="300"/>
        <w:rPr>
          <w:rFonts w:hint="eastAsia" w:ascii="宋体" w:hAnsi="宋体" w:cs="宋体"/>
          <w:sz w:val="28"/>
          <w:szCs w:val="28"/>
          <w:lang w:val="en-US" w:eastAsia="zh-CN"/>
        </w:rPr>
      </w:pPr>
      <w:r>
        <w:rPr>
          <w:rFonts w:hint="eastAsia" w:ascii="宋体" w:hAnsi="宋体" w:eastAsia="宋体" w:cs="宋体"/>
          <w:sz w:val="28"/>
          <w:szCs w:val="28"/>
          <w:lang w:eastAsia="zh-CN"/>
        </w:rPr>
        <w:t>职务加分：教官团预备学员（积极参加训练但考核中未成为正式学员的）加0.5；</w:t>
      </w:r>
      <w:r>
        <w:rPr>
          <w:rFonts w:hint="eastAsia" w:ascii="宋体" w:hAnsi="宋体" w:eastAsia="宋体" w:cs="宋体"/>
          <w:sz w:val="28"/>
          <w:szCs w:val="28"/>
          <w:lang w:val="en-US" w:eastAsia="zh-CN"/>
        </w:rPr>
        <w:t xml:space="preserve"> 正式教官，加1分；中队干部、大队副大队长、大队教导员、部门副部长、</w:t>
      </w:r>
      <w:r>
        <w:rPr>
          <w:rFonts w:hint="eastAsia" w:ascii="宋体" w:hAnsi="宋体" w:cs="宋体"/>
          <w:sz w:val="28"/>
          <w:szCs w:val="28"/>
          <w:lang w:val="en-US" w:eastAsia="zh-CN"/>
        </w:rPr>
        <w:t>大队长、部门部长、办公室主任等1.5分，教官团副团长加2 分；</w:t>
      </w:r>
    </w:p>
    <w:p>
      <w:pPr>
        <w:spacing w:line="440" w:lineRule="exact"/>
        <w:ind w:left="0" w:firstLine="840" w:firstLineChars="300"/>
        <w:rPr>
          <w:rFonts w:hint="eastAsia" w:ascii="宋体" w:hAnsi="宋体" w:eastAsia="宋体" w:cs="宋体"/>
          <w:sz w:val="28"/>
          <w:szCs w:val="28"/>
          <w:lang w:val="en-US" w:eastAsia="zh-CN"/>
        </w:rPr>
      </w:pPr>
      <w:r>
        <w:rPr>
          <w:rFonts w:hint="eastAsia" w:ascii="宋体" w:hAnsi="宋体" w:cs="宋体"/>
          <w:sz w:val="28"/>
          <w:szCs w:val="28"/>
          <w:lang w:val="en-US" w:eastAsia="zh-CN"/>
        </w:rPr>
        <w:t>评优加分：暑期集训获得优秀学员可作为学院五四评优的推荐参考人员。按照农学院全体教官的20%的人数在五四评优中给予表彰。</w:t>
      </w:r>
      <w:r>
        <w:rPr>
          <w:rFonts w:hint="eastAsia" w:ascii="宋体" w:hAnsi="宋体" w:eastAsia="宋体" w:cs="宋体"/>
          <w:sz w:val="28"/>
          <w:szCs w:val="28"/>
          <w:lang w:val="en-US" w:eastAsia="zh-CN"/>
        </w:rPr>
        <w:t xml:space="preserve"> </w:t>
      </w:r>
    </w:p>
    <w:p>
      <w:pPr>
        <w:spacing w:line="440" w:lineRule="exact"/>
        <w:ind w:left="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志愿活动加分： 只要是政府部门，校院和党团组织的章或者录入志愿服务系统都可以加志愿分。   </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5</w:t>
      </w:r>
      <w:r>
        <w:rPr>
          <w:rFonts w:asciiTheme="minorEastAsia" w:hAnsiTheme="minorEastAsia" w:eastAsiaTheme="minorEastAsia"/>
          <w:sz w:val="28"/>
          <w:szCs w:val="28"/>
        </w:rPr>
        <w:t>）学校其他组织</w:t>
      </w:r>
    </w:p>
    <w:p>
      <w:pPr>
        <w:numPr>
          <w:ilvl w:val="0"/>
          <w:numId w:val="2"/>
        </w:numPr>
        <w:tabs>
          <w:tab w:val="left" w:pos="660"/>
        </w:tabs>
        <w:spacing w:line="440" w:lineRule="exact"/>
        <w:ind w:right="560" w:firstLine="480"/>
        <w:jc w:val="both"/>
        <w:rPr>
          <w:rFonts w:asciiTheme="minorEastAsia" w:hAnsiTheme="minorEastAsia" w:eastAsiaTheme="minorEastAsia"/>
          <w:sz w:val="28"/>
          <w:szCs w:val="28"/>
        </w:rPr>
      </w:pPr>
      <w:r>
        <w:rPr>
          <w:rFonts w:asciiTheme="minorEastAsia" w:hAnsiTheme="minorEastAsia" w:eastAsiaTheme="minorEastAsia"/>
          <w:sz w:val="28"/>
          <w:szCs w:val="28"/>
        </w:rPr>
        <w:t>担任校级组织（社联、校红会、党办信息部、校团委信息中心、学生工作部、党委宣传部）正副职学生干部，可申请加综合测评分 1.5 分。</w:t>
      </w:r>
    </w:p>
    <w:p>
      <w:pPr>
        <w:numPr>
          <w:ilvl w:val="0"/>
          <w:numId w:val="2"/>
        </w:numPr>
        <w:tabs>
          <w:tab w:val="left" w:pos="660"/>
        </w:tabs>
        <w:spacing w:line="440" w:lineRule="exact"/>
        <w:ind w:right="560" w:firstLine="480"/>
        <w:jc w:val="both"/>
        <w:rPr>
          <w:rFonts w:asciiTheme="minorEastAsia" w:hAnsiTheme="minorEastAsia" w:eastAsiaTheme="minorEastAsia"/>
          <w:sz w:val="28"/>
          <w:szCs w:val="28"/>
        </w:rPr>
      </w:pPr>
      <w:r>
        <w:rPr>
          <w:rFonts w:asciiTheme="minorEastAsia" w:hAnsiTheme="minorEastAsia" w:eastAsiaTheme="minorEastAsia"/>
          <w:sz w:val="28"/>
          <w:szCs w:val="28"/>
        </w:rPr>
        <w:t>担任校级组织（社联、校红会、党办信息部、校团委信息中心、学生工作部、党委宣传部）正副部长级学生干部，可申请加综合测评分 1 分。</w:t>
      </w:r>
    </w:p>
    <w:p>
      <w:pPr>
        <w:numPr>
          <w:ilvl w:val="0"/>
          <w:numId w:val="2"/>
        </w:numPr>
        <w:tabs>
          <w:tab w:val="left" w:pos="660"/>
        </w:tabs>
        <w:spacing w:line="440" w:lineRule="exact"/>
        <w:ind w:right="560" w:firstLine="480"/>
        <w:jc w:val="both"/>
        <w:rPr>
          <w:rFonts w:asciiTheme="minorEastAsia" w:hAnsiTheme="minorEastAsia" w:eastAsiaTheme="minorEastAsia"/>
          <w:sz w:val="28"/>
          <w:szCs w:val="28"/>
        </w:rPr>
      </w:pPr>
      <w:r>
        <w:rPr>
          <w:rFonts w:asciiTheme="minorEastAsia" w:hAnsiTheme="minorEastAsia" w:eastAsiaTheme="minorEastAsia"/>
          <w:sz w:val="28"/>
          <w:szCs w:val="28"/>
        </w:rPr>
        <w:t>担任校级组织（社联、校红会、党办信息部、校团委信息中心、学生工作部、党委宣传部）干事，可申请加综合测评分 0.5 分。</w:t>
      </w:r>
    </w:p>
    <w:p>
      <w:pPr>
        <w:spacing w:line="440" w:lineRule="exact"/>
        <w:ind w:right="14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6</w:t>
      </w:r>
      <w:r>
        <w:rPr>
          <w:rFonts w:asciiTheme="minorEastAsia" w:hAnsiTheme="minorEastAsia" w:eastAsiaTheme="minorEastAsia"/>
          <w:sz w:val="28"/>
          <w:szCs w:val="28"/>
        </w:rPr>
        <w:t>）参加学生组织、学生党团组织及学校成立的其他组织，任期不满一届，且超过本届任期时间的一半以上，因正当理由不再担任所任职务的，可申请减半加分；因违纪等原因被免去所任职务的或清退出本组织的，不加分；工作态度差、不负责任，未完成本职工作的，不加分；在任职期间受警告以上处分的，不加分。</w:t>
      </w:r>
    </w:p>
    <w:p>
      <w:pPr>
        <w:spacing w:line="440" w:lineRule="exact"/>
        <w:rPr>
          <w:rFonts w:asciiTheme="minorEastAsia" w:hAnsiTheme="minorEastAsia" w:eastAsiaTheme="minorEastAsia"/>
          <w:sz w:val="28"/>
          <w:szCs w:val="28"/>
        </w:rPr>
      </w:pPr>
    </w:p>
    <w:p>
      <w:pPr>
        <w:spacing w:line="440" w:lineRule="exact"/>
        <w:ind w:right="360"/>
        <w:rPr>
          <w:rFonts w:asciiTheme="minorEastAsia" w:hAnsiTheme="minorEastAsia" w:eastAsiaTheme="minorEastAsia"/>
          <w:sz w:val="28"/>
          <w:szCs w:val="28"/>
        </w:rPr>
      </w:pPr>
      <w:r>
        <w:rPr>
          <w:rFonts w:asciiTheme="minorEastAsia" w:hAnsiTheme="minorEastAsia" w:eastAsiaTheme="minorEastAsia"/>
          <w:b/>
          <w:sz w:val="28"/>
          <w:szCs w:val="28"/>
        </w:rPr>
        <w:t>注:</w:t>
      </w:r>
      <w:r>
        <w:rPr>
          <w:rFonts w:asciiTheme="minorEastAsia" w:hAnsiTheme="minorEastAsia" w:eastAsiaTheme="minorEastAsia"/>
          <w:sz w:val="28"/>
          <w:szCs w:val="28"/>
        </w:rPr>
        <w:t>身兼数职者，第一职务得分为该职务加分分值，第二职务得分减半，第三及其他职务不再加分。</w:t>
      </w:r>
    </w:p>
    <w:p>
      <w:pPr>
        <w:spacing w:line="440" w:lineRule="exact"/>
        <w:rPr>
          <w:rFonts w:asciiTheme="minorEastAsia" w:hAnsiTheme="minorEastAsia" w:eastAsiaTheme="minorEastAsia"/>
          <w:b/>
          <w:sz w:val="28"/>
          <w:szCs w:val="28"/>
        </w:rPr>
      </w:pPr>
      <w:r>
        <w:rPr>
          <w:rFonts w:asciiTheme="minorEastAsia" w:hAnsiTheme="minorEastAsia" w:eastAsiaTheme="minorEastAsia"/>
          <w:b/>
          <w:sz w:val="28"/>
          <w:szCs w:val="28"/>
        </w:rPr>
        <w:t>3、德育相关活动加分补充说明</w:t>
      </w:r>
    </w:p>
    <w:p>
      <w:pPr>
        <w:spacing w:line="440" w:lineRule="exact"/>
        <w:ind w:right="480"/>
        <w:jc w:val="both"/>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lang w:eastAsia="zh-CN"/>
        </w:rPr>
        <w:t>活动参与分</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学院在组织学生参加</w:t>
      </w:r>
      <w:r>
        <w:rPr>
          <w:rFonts w:asciiTheme="minorEastAsia" w:hAnsiTheme="minorEastAsia" w:eastAsiaTheme="minorEastAsia"/>
          <w:sz w:val="28"/>
          <w:szCs w:val="28"/>
        </w:rPr>
        <w:t>活动（如讲座，</w:t>
      </w:r>
      <w:r>
        <w:rPr>
          <w:rFonts w:hint="eastAsia" w:asciiTheme="minorEastAsia" w:hAnsiTheme="minorEastAsia" w:eastAsiaTheme="minorEastAsia"/>
          <w:sz w:val="28"/>
          <w:szCs w:val="28"/>
        </w:rPr>
        <w:t>竞赛</w:t>
      </w:r>
      <w:r>
        <w:rPr>
          <w:rFonts w:asciiTheme="minorEastAsia" w:hAnsiTheme="minorEastAsia" w:eastAsiaTheme="minorEastAsia"/>
          <w:sz w:val="28"/>
          <w:szCs w:val="28"/>
        </w:rPr>
        <w:t>活动，比赛观众</w:t>
      </w:r>
      <w:r>
        <w:rPr>
          <w:rFonts w:hint="eastAsia" w:asciiTheme="minorEastAsia" w:hAnsiTheme="minorEastAsia" w:eastAsiaTheme="minorEastAsia"/>
          <w:sz w:val="28"/>
          <w:szCs w:val="28"/>
          <w:lang w:eastAsia="zh-CN"/>
        </w:rPr>
        <w:t>、学风建设活动、廉洁教育活动</w:t>
      </w:r>
      <w:r>
        <w:rPr>
          <w:rFonts w:asciiTheme="minorEastAsia" w:hAnsiTheme="minorEastAsia" w:eastAsiaTheme="minorEastAsia"/>
          <w:sz w:val="28"/>
          <w:szCs w:val="28"/>
        </w:rPr>
        <w:t>等）</w:t>
      </w:r>
      <w:r>
        <w:rPr>
          <w:rFonts w:hint="eastAsia" w:asciiTheme="minorEastAsia" w:hAnsiTheme="minorEastAsia" w:eastAsiaTheme="minorEastAsia"/>
          <w:sz w:val="28"/>
          <w:szCs w:val="28"/>
        </w:rPr>
        <w:t>，提前说明</w:t>
      </w:r>
      <w:r>
        <w:rPr>
          <w:rFonts w:asciiTheme="minorEastAsia" w:hAnsiTheme="minorEastAsia" w:eastAsiaTheme="minorEastAsia"/>
          <w:sz w:val="28"/>
          <w:szCs w:val="28"/>
        </w:rPr>
        <w:t>有综合测评加分的</w:t>
      </w:r>
      <w:r>
        <w:rPr>
          <w:rFonts w:hint="eastAsia" w:asciiTheme="minorEastAsia" w:hAnsiTheme="minorEastAsia" w:eastAsiaTheme="minorEastAsia"/>
          <w:sz w:val="28"/>
          <w:szCs w:val="28"/>
        </w:rPr>
        <w:t>，</w:t>
      </w:r>
      <w:r>
        <w:rPr>
          <w:rFonts w:asciiTheme="minorEastAsia" w:hAnsiTheme="minorEastAsia" w:eastAsiaTheme="minorEastAsia"/>
          <w:sz w:val="28"/>
          <w:szCs w:val="28"/>
        </w:rPr>
        <w:t>可申请综合测评加分，每次</w:t>
      </w:r>
      <w:r>
        <w:rPr>
          <w:rFonts w:hint="eastAsia" w:asciiTheme="minorEastAsia" w:hAnsiTheme="minorEastAsia" w:eastAsiaTheme="minorEastAsia"/>
          <w:sz w:val="28"/>
          <w:szCs w:val="28"/>
        </w:rPr>
        <w:t>0.1-</w:t>
      </w:r>
      <w:r>
        <w:rPr>
          <w:rFonts w:asciiTheme="minorEastAsia" w:hAnsiTheme="minorEastAsia" w:eastAsiaTheme="minorEastAsia"/>
          <w:sz w:val="28"/>
          <w:szCs w:val="28"/>
        </w:rPr>
        <w:t>0.2 分</w:t>
      </w:r>
      <w:r>
        <w:rPr>
          <w:rFonts w:hint="eastAsia" w:asciiTheme="minorEastAsia" w:hAnsiTheme="minorEastAsia" w:eastAsiaTheme="minorEastAsia"/>
          <w:sz w:val="28"/>
          <w:szCs w:val="28"/>
        </w:rPr>
        <w:t>，具体以活动通知及公示计分</w:t>
      </w:r>
      <w:r>
        <w:rPr>
          <w:rFonts w:asciiTheme="minorEastAsia" w:hAnsiTheme="minorEastAsia" w:eastAsiaTheme="minorEastAsia"/>
          <w:sz w:val="28"/>
          <w:szCs w:val="28"/>
        </w:rPr>
        <w:t xml:space="preserve">。该项加分累计不能超过 </w:t>
      </w:r>
      <w:r>
        <w:rPr>
          <w:rFonts w:hint="eastAsia" w:asciiTheme="minorEastAsia" w:hAnsiTheme="minorEastAsia" w:eastAsiaTheme="minorEastAsia"/>
          <w:sz w:val="28"/>
          <w:szCs w:val="28"/>
          <w:lang w:val="en-US" w:eastAsia="zh-CN"/>
        </w:rPr>
        <w:t>2</w:t>
      </w:r>
      <w:r>
        <w:rPr>
          <w:rFonts w:asciiTheme="minorEastAsia" w:hAnsiTheme="minorEastAsia" w:eastAsiaTheme="minorEastAsia"/>
          <w:sz w:val="28"/>
          <w:szCs w:val="28"/>
        </w:rPr>
        <w:t>分。</w:t>
      </w:r>
    </w:p>
    <w:p>
      <w:pPr>
        <w:spacing w:line="440" w:lineRule="exact"/>
        <w:ind w:right="480"/>
        <w:jc w:val="both"/>
        <w:rPr>
          <w:rFonts w:asciiTheme="minorEastAsia" w:hAnsiTheme="minorEastAsia" w:eastAsiaTheme="minorEastAsia"/>
          <w:sz w:val="28"/>
          <w:szCs w:val="28"/>
        </w:rPr>
      </w:pPr>
      <w:r>
        <w:rPr>
          <w:rFonts w:asciiTheme="minorEastAsia" w:hAnsiTheme="minorEastAsia" w:eastAsiaTheme="minorEastAsia"/>
          <w:sz w:val="28"/>
          <w:szCs w:val="28"/>
        </w:rPr>
        <w:t>（2）积极参加校内外单位组织的义务劳动和其他志愿服务等群众性活动，并较好地完成所承担的任务的，加 0.2 分/次，累计不超过 1.5 分。</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（3）担任学院活动礼仪，加 0.</w:t>
      </w:r>
      <w:r>
        <w:rPr>
          <w:rFonts w:hint="eastAsia" w:asciiTheme="minorEastAsia" w:hAnsiTheme="minorEastAsia" w:eastAsiaTheme="minorEastAsia"/>
          <w:sz w:val="28"/>
          <w:szCs w:val="28"/>
          <w:lang w:val="en-US" w:eastAsia="zh-CN"/>
        </w:rPr>
        <w:t>2</w:t>
      </w:r>
      <w:r>
        <w:rPr>
          <w:rFonts w:asciiTheme="minorEastAsia" w:hAnsiTheme="minorEastAsia" w:eastAsiaTheme="minorEastAsia"/>
          <w:sz w:val="28"/>
          <w:szCs w:val="28"/>
        </w:rPr>
        <w:t xml:space="preserve"> 分/次，累计不超过 </w:t>
      </w:r>
      <w:r>
        <w:rPr>
          <w:rFonts w:hint="eastAsia" w:asciiTheme="minorEastAsia" w:hAnsiTheme="minorEastAsia" w:eastAsiaTheme="minorEastAsia"/>
          <w:sz w:val="28"/>
          <w:szCs w:val="28"/>
          <w:lang w:val="en-US" w:eastAsia="zh-CN"/>
        </w:rPr>
        <w:t>1</w:t>
      </w:r>
      <w:r>
        <w:rPr>
          <w:rFonts w:asciiTheme="minorEastAsia" w:hAnsiTheme="minorEastAsia" w:eastAsiaTheme="minorEastAsia"/>
          <w:sz w:val="28"/>
          <w:szCs w:val="28"/>
        </w:rPr>
        <w:t>分。</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（4）文化艺术、思想道德建设等竞赛活动获得非等级类奖项（如最具人气奖、精神文明风尚奖等）按照优秀奖加分。团体参赛，加分为个人参赛加分标准减半。</w:t>
      </w:r>
    </w:p>
    <w:p>
      <w:pPr>
        <w:spacing w:line="440" w:lineRule="exac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学院组织的创业创业大赛的参与但未获奖加分按照0.1分1次，设等级的优秀奖（含国家、省、市、校、院等）每次加0.3分，两者都属于德育活动参与分。</w:t>
      </w:r>
    </w:p>
    <w:p>
      <w:pPr>
        <w:spacing w:line="440" w:lineRule="exac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（6）学院组织的各类德育和智育活动，设等级的优秀奖加分不超过1分。</w:t>
      </w:r>
    </w:p>
    <w:p>
      <w:pPr>
        <w:spacing w:line="440" w:lineRule="exac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（7）同一项目不同级别获奖取最高级别加分，获奖分和参与分只能选择其中一项加分。</w:t>
      </w:r>
    </w:p>
    <w:p>
      <w:pPr>
        <w:spacing w:line="440" w:lineRule="exact"/>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lang w:eastAsia="zh-CN"/>
        </w:rPr>
        <w:t>（</w:t>
      </w:r>
      <w:r>
        <w:rPr>
          <w:rFonts w:hint="eastAsia" w:asciiTheme="minorEastAsia" w:hAnsiTheme="minorEastAsia" w:eastAsiaTheme="minorEastAsia"/>
          <w:b w:val="0"/>
          <w:bCs/>
          <w:sz w:val="28"/>
          <w:szCs w:val="28"/>
          <w:lang w:val="en-US" w:eastAsia="zh-CN"/>
        </w:rPr>
        <w:t>8</w:t>
      </w:r>
      <w:r>
        <w:rPr>
          <w:rFonts w:hint="eastAsia" w:asciiTheme="minorEastAsia" w:hAnsiTheme="minorEastAsia" w:eastAsiaTheme="minorEastAsia"/>
          <w:b w:val="0"/>
          <w:bCs/>
          <w:sz w:val="28"/>
          <w:szCs w:val="28"/>
          <w:lang w:eastAsia="zh-CN"/>
        </w:rPr>
        <w:t>）</w:t>
      </w:r>
      <w:r>
        <w:rPr>
          <w:rFonts w:asciiTheme="minorEastAsia" w:hAnsiTheme="minorEastAsia" w:eastAsiaTheme="minorEastAsia"/>
          <w:b w:val="0"/>
          <w:bCs/>
          <w:sz w:val="28"/>
          <w:szCs w:val="28"/>
        </w:rPr>
        <w:t>本年度无请假、迟到、旷课记录的学生，可申请加 0.5 分。</w:t>
      </w:r>
    </w:p>
    <w:p>
      <w:pPr>
        <w:numPr>
          <w:ilvl w:val="-1"/>
          <w:numId w:val="0"/>
        </w:numPr>
        <w:spacing w:line="440" w:lineRule="exac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（9）德育扣分的说明：宿舍卫生和课堂纪律被通报批评，每次扣1分。</w:t>
      </w:r>
    </w:p>
    <w:p>
      <w:pPr>
        <w:spacing w:line="440" w:lineRule="exact"/>
        <w:rPr>
          <w:rFonts w:asciiTheme="minorEastAsia" w:hAnsiTheme="minorEastAsia" w:eastAsiaTheme="minorEastAsia"/>
          <w:sz w:val="28"/>
          <w:szCs w:val="28"/>
        </w:rPr>
      </w:pPr>
      <w:r>
        <w:rPr>
          <w:rFonts w:asciiTheme="minorEastAsia" w:hAnsiTheme="minorEastAsia" w:eastAsiaTheme="minorEastAsia"/>
          <w:b/>
          <w:sz w:val="28"/>
          <w:szCs w:val="28"/>
        </w:rPr>
        <w:t xml:space="preserve">第三条 </w:t>
      </w:r>
      <w:r>
        <w:rPr>
          <w:rFonts w:asciiTheme="minorEastAsia" w:hAnsiTheme="minorEastAsia" w:eastAsiaTheme="minorEastAsia"/>
          <w:sz w:val="28"/>
          <w:szCs w:val="28"/>
        </w:rPr>
        <w:t>智育奖励加分补充说明</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（1）在该综合测评年度中，通过英语四或者六级考试，加 0.5 分，若在本年度中同时通过英语四级和六级考试，则可申请加分 1 分。</w:t>
      </w:r>
    </w:p>
    <w:p>
      <w:pPr>
        <w:spacing w:line="440" w:lineRule="exact"/>
        <w:ind w:right="120"/>
        <w:jc w:val="both"/>
        <w:rPr>
          <w:rFonts w:asciiTheme="minorEastAsia" w:hAnsiTheme="minorEastAsia" w:eastAsiaTheme="minorEastAsia"/>
          <w:sz w:val="28"/>
          <w:szCs w:val="28"/>
        </w:rPr>
      </w:pPr>
      <w:r>
        <w:rPr>
          <w:rFonts w:asciiTheme="minorEastAsia" w:hAnsiTheme="minorEastAsia" w:eastAsiaTheme="minorEastAsia"/>
          <w:sz w:val="28"/>
          <w:szCs w:val="28"/>
        </w:rPr>
        <w:t>（2）参与农学院组织的各项</w:t>
      </w:r>
      <w:r>
        <w:rPr>
          <w:rFonts w:hint="eastAsia" w:asciiTheme="minorEastAsia" w:hAnsiTheme="minorEastAsia" w:eastAsiaTheme="minorEastAsia"/>
          <w:sz w:val="28"/>
          <w:szCs w:val="28"/>
        </w:rPr>
        <w:t>学科类</w:t>
      </w:r>
      <w:r>
        <w:rPr>
          <w:rFonts w:asciiTheme="minorEastAsia" w:hAnsiTheme="minorEastAsia" w:eastAsiaTheme="minorEastAsia"/>
          <w:sz w:val="28"/>
          <w:szCs w:val="28"/>
        </w:rPr>
        <w:t>竞赛活动（如农学知识竞赛、</w:t>
      </w:r>
      <w:r>
        <w:rPr>
          <w:rFonts w:hint="eastAsia" w:asciiTheme="minorEastAsia" w:hAnsiTheme="minorEastAsia" w:eastAsiaTheme="minorEastAsia"/>
          <w:sz w:val="28"/>
          <w:szCs w:val="28"/>
        </w:rPr>
        <w:t>昆虫</w:t>
      </w:r>
      <w:r>
        <w:rPr>
          <w:rFonts w:asciiTheme="minorEastAsia" w:hAnsiTheme="minorEastAsia" w:eastAsiaTheme="minorEastAsia"/>
          <w:sz w:val="28"/>
          <w:szCs w:val="28"/>
        </w:rPr>
        <w:t>标本大赛、</w:t>
      </w:r>
      <w:r>
        <w:rPr>
          <w:rFonts w:hint="eastAsia" w:asciiTheme="minorEastAsia" w:hAnsiTheme="minorEastAsia" w:eastAsiaTheme="minorEastAsia"/>
          <w:sz w:val="28"/>
          <w:szCs w:val="28"/>
        </w:rPr>
        <w:t>实验技能大赛</w:t>
      </w:r>
      <w:r>
        <w:rPr>
          <w:rFonts w:asciiTheme="minorEastAsia" w:hAnsiTheme="minorEastAsia" w:eastAsiaTheme="minorEastAsia"/>
          <w:sz w:val="28"/>
          <w:szCs w:val="28"/>
        </w:rPr>
        <w:t>）获得相应名次，可申请综合测评加分</w:t>
      </w:r>
      <w:r>
        <w:rPr>
          <w:rFonts w:hint="eastAsia" w:asciiTheme="minorEastAsia" w:hAnsiTheme="minorEastAsia" w:eastAsiaTheme="minorEastAsia"/>
          <w:sz w:val="28"/>
          <w:szCs w:val="28"/>
          <w:lang w:eastAsia="zh-CN"/>
        </w:rPr>
        <w:t>，具体加分以创院最新认定文件的奖励为准。若创院往年文件皆未对此类竞赛项目进行认定，则在活动举办前由指导老师统一向学院奖助贷申请加分并获得批准和事前向全院同学进行公示后才予以加分，事后申请不能加分。</w:t>
      </w:r>
    </w:p>
    <w:p>
      <w:pPr>
        <w:spacing w:line="440" w:lineRule="exact"/>
        <w:ind w:right="480"/>
        <w:rPr>
          <w:rFonts w:asciiTheme="minorEastAsia" w:hAnsiTheme="minorEastAsia" w:eastAsiaTheme="minorEastAsia"/>
          <w:sz w:val="28"/>
          <w:szCs w:val="28"/>
        </w:rPr>
      </w:pPr>
      <w:r>
        <w:rPr>
          <w:rFonts w:asciiTheme="minorEastAsia" w:hAnsiTheme="minorEastAsia" w:eastAsiaTheme="minorEastAsia"/>
          <w:b/>
          <w:sz w:val="28"/>
          <w:szCs w:val="28"/>
        </w:rPr>
        <w:t xml:space="preserve">第四条 </w:t>
      </w:r>
      <w:r>
        <w:rPr>
          <w:rFonts w:asciiTheme="minorEastAsia" w:hAnsiTheme="minorEastAsia" w:eastAsiaTheme="minorEastAsia"/>
          <w:sz w:val="28"/>
          <w:szCs w:val="28"/>
        </w:rPr>
        <w:t>体育奖励加分补充说明</w:t>
      </w:r>
    </w:p>
    <w:p>
      <w:pPr>
        <w:tabs>
          <w:tab w:val="left" w:pos="7797"/>
        </w:tabs>
        <w:spacing w:line="440" w:lineRule="exact"/>
        <w:ind w:right="480"/>
        <w:rPr>
          <w:rFonts w:asciiTheme="minorEastAsia" w:hAnsiTheme="minorEastAsia" w:eastAsiaTheme="minorEastAsia"/>
          <w:sz w:val="28"/>
          <w:szCs w:val="28"/>
        </w:rPr>
      </w:pPr>
      <w:r>
        <w:rPr>
          <w:rFonts w:asciiTheme="minorEastAsia" w:hAnsiTheme="minorEastAsia" w:eastAsiaTheme="minorEastAsia"/>
          <w:sz w:val="28"/>
          <w:szCs w:val="28"/>
        </w:rPr>
        <w:t>体育活动中，获非等级类奖项（如最佳球员等）加分标准如下。</w:t>
      </w:r>
    </w:p>
    <w:p>
      <w:pPr>
        <w:spacing w:line="440" w:lineRule="exact"/>
        <w:rPr>
          <w:rFonts w:asciiTheme="minorEastAsia" w:hAnsiTheme="minorEastAsia" w:eastAsiaTheme="minorEastAsia"/>
          <w:sz w:val="28"/>
          <w:szCs w:val="28"/>
        </w:rPr>
      </w:pPr>
    </w:p>
    <w:tbl>
      <w:tblPr>
        <w:tblStyle w:val="4"/>
        <w:tblW w:w="0" w:type="auto"/>
        <w:tblInd w:w="1985" w:type="dxa"/>
        <w:tblLayout w:type="fixed"/>
        <w:tblCellMar>
          <w:top w:w="0" w:type="dxa"/>
          <w:left w:w="0" w:type="dxa"/>
          <w:bottom w:w="0" w:type="dxa"/>
          <w:right w:w="0" w:type="dxa"/>
        </w:tblCellMar>
      </w:tblPr>
      <w:tblGrid>
        <w:gridCol w:w="355"/>
        <w:gridCol w:w="1940"/>
        <w:gridCol w:w="2524"/>
      </w:tblGrid>
      <w:tr>
        <w:tblPrEx>
          <w:tblCellMar>
            <w:top w:w="0" w:type="dxa"/>
            <w:left w:w="0" w:type="dxa"/>
            <w:bottom w:w="0" w:type="dxa"/>
            <w:right w:w="0" w:type="dxa"/>
          </w:tblCellMar>
        </w:tblPrEx>
        <w:trPr>
          <w:trHeight w:val="274"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vAlign w:val="bottom"/>
          </w:tcPr>
          <w:p>
            <w:pPr>
              <w:spacing w:line="440" w:lineRule="exact"/>
              <w:jc w:val="center"/>
              <w:rPr>
                <w:rFonts w:asciiTheme="minorEastAsia" w:hAnsiTheme="minorEastAsia" w:eastAsiaTheme="minorEastAsia"/>
                <w:w w:val="99"/>
                <w:sz w:val="28"/>
                <w:szCs w:val="28"/>
              </w:rPr>
            </w:pPr>
            <w:r>
              <w:rPr>
                <w:rFonts w:asciiTheme="minorEastAsia" w:hAnsiTheme="minorEastAsia" w:eastAsiaTheme="minorEastAsia"/>
                <w:w w:val="99"/>
                <w:sz w:val="28"/>
                <w:szCs w:val="28"/>
              </w:rPr>
              <w:t>等级</w:t>
            </w:r>
          </w:p>
        </w:tc>
        <w:tc>
          <w:tcPr>
            <w:tcW w:w="2524" w:type="dxa"/>
            <w:vAlign w:val="bottom"/>
          </w:tcPr>
          <w:p>
            <w:pPr>
              <w:spacing w:line="440" w:lineRule="exact"/>
              <w:ind w:left="260"/>
              <w:rPr>
                <w:rFonts w:asciiTheme="minorEastAsia" w:hAnsiTheme="minorEastAsia" w:eastAsiaTheme="minorEastAsia"/>
                <w:sz w:val="28"/>
                <w:szCs w:val="28"/>
              </w:rPr>
            </w:pPr>
            <w:r>
              <w:rPr>
                <w:rFonts w:asciiTheme="minorEastAsia" w:hAnsiTheme="minorEastAsia" w:eastAsiaTheme="minorEastAsia"/>
                <w:sz w:val="28"/>
                <w:szCs w:val="28"/>
              </w:rPr>
              <w:t>非等级类奖项</w:t>
            </w:r>
          </w:p>
        </w:tc>
      </w:tr>
      <w:tr>
        <w:tblPrEx>
          <w:tblCellMar>
            <w:top w:w="0" w:type="dxa"/>
            <w:left w:w="0" w:type="dxa"/>
            <w:bottom w:w="0" w:type="dxa"/>
            <w:right w:w="0" w:type="dxa"/>
          </w:tblCellMar>
        </w:tblPrEx>
        <w:trPr>
          <w:trHeight w:val="140"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tcBorders>
              <w:bottom w:val="single" w:color="auto" w:sz="8" w:space="0"/>
            </w:tcBorders>
            <w:vAlign w:val="bottom"/>
          </w:tcPr>
          <w:p>
            <w:pPr>
              <w:spacing w:line="440" w:lineRule="exact"/>
              <w:rPr>
                <w:rFonts w:asciiTheme="minorEastAsia" w:hAnsiTheme="minorEastAsia" w:eastAsiaTheme="minorEastAsia"/>
                <w:sz w:val="28"/>
                <w:szCs w:val="28"/>
              </w:rPr>
            </w:pPr>
          </w:p>
        </w:tc>
        <w:tc>
          <w:tcPr>
            <w:tcW w:w="2524" w:type="dxa"/>
            <w:tcBorders>
              <w:bottom w:val="single" w:color="auto" w:sz="8" w:space="0"/>
            </w:tcBorders>
            <w:vAlign w:val="bottom"/>
          </w:tcPr>
          <w:p>
            <w:pPr>
              <w:spacing w:line="440" w:lineRule="exact"/>
              <w:rPr>
                <w:rFonts w:asciiTheme="minorEastAsia" w:hAnsiTheme="minorEastAsia" w:eastAsiaTheme="minorEastAsia"/>
                <w:sz w:val="28"/>
                <w:szCs w:val="28"/>
              </w:rPr>
            </w:pPr>
          </w:p>
        </w:tc>
      </w:tr>
      <w:tr>
        <w:tblPrEx>
          <w:tblCellMar>
            <w:top w:w="0" w:type="dxa"/>
            <w:left w:w="0" w:type="dxa"/>
            <w:bottom w:w="0" w:type="dxa"/>
            <w:right w:w="0" w:type="dxa"/>
          </w:tblCellMar>
        </w:tblPrEx>
        <w:trPr>
          <w:trHeight w:val="289"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vAlign w:val="bottom"/>
          </w:tcPr>
          <w:p>
            <w:pPr>
              <w:spacing w:line="440" w:lineRule="exact"/>
              <w:jc w:val="center"/>
              <w:rPr>
                <w:rFonts w:asciiTheme="minorEastAsia" w:hAnsiTheme="minorEastAsia" w:eastAsiaTheme="minorEastAsia"/>
                <w:w w:val="99"/>
                <w:sz w:val="28"/>
                <w:szCs w:val="28"/>
              </w:rPr>
            </w:pPr>
            <w:r>
              <w:rPr>
                <w:rFonts w:asciiTheme="minorEastAsia" w:hAnsiTheme="minorEastAsia" w:eastAsiaTheme="minorEastAsia"/>
                <w:w w:val="99"/>
                <w:sz w:val="28"/>
                <w:szCs w:val="28"/>
              </w:rPr>
              <w:t>国家、省部、市级</w:t>
            </w:r>
          </w:p>
        </w:tc>
        <w:tc>
          <w:tcPr>
            <w:tcW w:w="2524" w:type="dxa"/>
            <w:vAlign w:val="bottom"/>
          </w:tcPr>
          <w:p>
            <w:pPr>
              <w:spacing w:line="440" w:lineRule="exact"/>
              <w:ind w:left="160"/>
              <w:rPr>
                <w:rFonts w:asciiTheme="minorEastAsia" w:hAnsiTheme="minorEastAsia" w:eastAsiaTheme="minorEastAsia"/>
                <w:sz w:val="28"/>
                <w:szCs w:val="28"/>
              </w:rPr>
            </w:pPr>
            <w:r>
              <w:rPr>
                <w:rFonts w:asciiTheme="minorEastAsia" w:hAnsiTheme="minorEastAsia" w:eastAsiaTheme="minorEastAsia"/>
                <w:sz w:val="28"/>
                <w:szCs w:val="28"/>
              </w:rPr>
              <w:t>个人：3 分/人</w:t>
            </w:r>
          </w:p>
        </w:tc>
      </w:tr>
      <w:tr>
        <w:tblPrEx>
          <w:tblCellMar>
            <w:top w:w="0" w:type="dxa"/>
            <w:left w:w="0" w:type="dxa"/>
            <w:bottom w:w="0" w:type="dxa"/>
            <w:right w:w="0" w:type="dxa"/>
          </w:tblCellMar>
        </w:tblPrEx>
        <w:trPr>
          <w:trHeight w:val="286"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vAlign w:val="bottom"/>
          </w:tcPr>
          <w:p>
            <w:pPr>
              <w:spacing w:line="440" w:lineRule="exact"/>
              <w:rPr>
                <w:rFonts w:asciiTheme="minorEastAsia" w:hAnsiTheme="minorEastAsia" w:eastAsiaTheme="minorEastAsia"/>
                <w:sz w:val="28"/>
                <w:szCs w:val="28"/>
              </w:rPr>
            </w:pPr>
          </w:p>
        </w:tc>
        <w:tc>
          <w:tcPr>
            <w:tcW w:w="2524" w:type="dxa"/>
            <w:vAlign w:val="bottom"/>
          </w:tcPr>
          <w:p>
            <w:pPr>
              <w:spacing w:line="440" w:lineRule="exact"/>
              <w:ind w:left="160"/>
              <w:rPr>
                <w:rFonts w:asciiTheme="minorEastAsia" w:hAnsiTheme="minorEastAsia" w:eastAsiaTheme="minorEastAsia"/>
                <w:sz w:val="28"/>
                <w:szCs w:val="28"/>
              </w:rPr>
            </w:pPr>
            <w:r>
              <w:rPr>
                <w:rFonts w:asciiTheme="minorEastAsia" w:hAnsiTheme="minorEastAsia" w:eastAsiaTheme="minorEastAsia"/>
                <w:sz w:val="28"/>
                <w:szCs w:val="28"/>
              </w:rPr>
              <w:t>团体：3 分/人</w:t>
            </w:r>
          </w:p>
        </w:tc>
      </w:tr>
      <w:tr>
        <w:tblPrEx>
          <w:tblCellMar>
            <w:top w:w="0" w:type="dxa"/>
            <w:left w:w="0" w:type="dxa"/>
            <w:bottom w:w="0" w:type="dxa"/>
            <w:right w:w="0" w:type="dxa"/>
          </w:tblCellMar>
        </w:tblPrEx>
        <w:trPr>
          <w:trHeight w:val="32"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tcBorders>
              <w:bottom w:val="single" w:color="auto" w:sz="8" w:space="0"/>
            </w:tcBorders>
            <w:vAlign w:val="bottom"/>
          </w:tcPr>
          <w:p>
            <w:pPr>
              <w:spacing w:line="440" w:lineRule="exact"/>
              <w:rPr>
                <w:rFonts w:asciiTheme="minorEastAsia" w:hAnsiTheme="minorEastAsia" w:eastAsiaTheme="minorEastAsia"/>
                <w:sz w:val="28"/>
                <w:szCs w:val="28"/>
              </w:rPr>
            </w:pPr>
          </w:p>
        </w:tc>
        <w:tc>
          <w:tcPr>
            <w:tcW w:w="2524" w:type="dxa"/>
            <w:tcBorders>
              <w:bottom w:val="single" w:color="auto" w:sz="8" w:space="0"/>
            </w:tcBorders>
            <w:vAlign w:val="bottom"/>
          </w:tcPr>
          <w:p>
            <w:pPr>
              <w:spacing w:line="440" w:lineRule="exact"/>
              <w:rPr>
                <w:rFonts w:asciiTheme="minorEastAsia" w:hAnsiTheme="minorEastAsia" w:eastAsiaTheme="minorEastAsia"/>
                <w:sz w:val="28"/>
                <w:szCs w:val="28"/>
              </w:rPr>
            </w:pPr>
          </w:p>
        </w:tc>
      </w:tr>
      <w:tr>
        <w:tblPrEx>
          <w:tblCellMar>
            <w:top w:w="0" w:type="dxa"/>
            <w:left w:w="0" w:type="dxa"/>
            <w:bottom w:w="0" w:type="dxa"/>
            <w:right w:w="0" w:type="dxa"/>
          </w:tblCellMar>
        </w:tblPrEx>
        <w:trPr>
          <w:trHeight w:val="294"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vAlign w:val="bottom"/>
          </w:tcPr>
          <w:p>
            <w:pPr>
              <w:spacing w:line="440" w:lineRule="exact"/>
              <w:jc w:val="center"/>
              <w:rPr>
                <w:rFonts w:asciiTheme="minorEastAsia" w:hAnsiTheme="minorEastAsia" w:eastAsiaTheme="minorEastAsia"/>
                <w:w w:val="99"/>
                <w:sz w:val="28"/>
                <w:szCs w:val="28"/>
              </w:rPr>
            </w:pPr>
            <w:r>
              <w:rPr>
                <w:rFonts w:asciiTheme="minorEastAsia" w:hAnsiTheme="minorEastAsia" w:eastAsiaTheme="minorEastAsia"/>
                <w:w w:val="99"/>
                <w:sz w:val="28"/>
                <w:szCs w:val="28"/>
              </w:rPr>
              <w:t>校级</w:t>
            </w:r>
          </w:p>
        </w:tc>
        <w:tc>
          <w:tcPr>
            <w:tcW w:w="2524" w:type="dxa"/>
            <w:vAlign w:val="bottom"/>
          </w:tcPr>
          <w:p>
            <w:pPr>
              <w:spacing w:line="440" w:lineRule="exact"/>
              <w:ind w:left="160"/>
              <w:rPr>
                <w:rFonts w:asciiTheme="minorEastAsia" w:hAnsiTheme="minorEastAsia" w:eastAsiaTheme="minorEastAsia"/>
                <w:sz w:val="28"/>
                <w:szCs w:val="28"/>
              </w:rPr>
            </w:pPr>
            <w:r>
              <w:rPr>
                <w:rFonts w:asciiTheme="minorEastAsia" w:hAnsiTheme="minorEastAsia" w:eastAsiaTheme="minorEastAsia"/>
                <w:sz w:val="28"/>
                <w:szCs w:val="28"/>
              </w:rPr>
              <w:t>个人：1 分/人</w:t>
            </w:r>
          </w:p>
        </w:tc>
      </w:tr>
      <w:tr>
        <w:tblPrEx>
          <w:tblCellMar>
            <w:top w:w="0" w:type="dxa"/>
            <w:left w:w="0" w:type="dxa"/>
            <w:bottom w:w="0" w:type="dxa"/>
            <w:right w:w="0" w:type="dxa"/>
          </w:tblCellMar>
        </w:tblPrEx>
        <w:trPr>
          <w:trHeight w:val="286"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vAlign w:val="bottom"/>
          </w:tcPr>
          <w:p>
            <w:pPr>
              <w:spacing w:line="440" w:lineRule="exact"/>
              <w:rPr>
                <w:rFonts w:asciiTheme="minorEastAsia" w:hAnsiTheme="minorEastAsia" w:eastAsiaTheme="minorEastAsia"/>
                <w:sz w:val="28"/>
                <w:szCs w:val="28"/>
              </w:rPr>
            </w:pPr>
          </w:p>
        </w:tc>
        <w:tc>
          <w:tcPr>
            <w:tcW w:w="2524" w:type="dxa"/>
            <w:vAlign w:val="bottom"/>
          </w:tcPr>
          <w:p>
            <w:pPr>
              <w:spacing w:line="440" w:lineRule="exact"/>
              <w:ind w:left="160"/>
              <w:rPr>
                <w:rFonts w:asciiTheme="minorEastAsia" w:hAnsiTheme="minorEastAsia" w:eastAsiaTheme="minorEastAsia"/>
                <w:sz w:val="28"/>
                <w:szCs w:val="28"/>
              </w:rPr>
            </w:pPr>
            <w:r>
              <w:rPr>
                <w:rFonts w:asciiTheme="minorEastAsia" w:hAnsiTheme="minorEastAsia" w:eastAsiaTheme="minorEastAsia"/>
                <w:sz w:val="28"/>
                <w:szCs w:val="28"/>
              </w:rPr>
              <w:t>团体：0.5 分/人</w:t>
            </w:r>
          </w:p>
        </w:tc>
      </w:tr>
      <w:tr>
        <w:tblPrEx>
          <w:tblCellMar>
            <w:top w:w="0" w:type="dxa"/>
            <w:left w:w="0" w:type="dxa"/>
            <w:bottom w:w="0" w:type="dxa"/>
            <w:right w:w="0" w:type="dxa"/>
          </w:tblCellMar>
        </w:tblPrEx>
        <w:trPr>
          <w:trHeight w:val="30"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tcBorders>
              <w:bottom w:val="single" w:color="auto" w:sz="8" w:space="0"/>
            </w:tcBorders>
            <w:vAlign w:val="bottom"/>
          </w:tcPr>
          <w:p>
            <w:pPr>
              <w:spacing w:line="440" w:lineRule="exact"/>
              <w:rPr>
                <w:rFonts w:asciiTheme="minorEastAsia" w:hAnsiTheme="minorEastAsia" w:eastAsiaTheme="minorEastAsia"/>
                <w:sz w:val="28"/>
                <w:szCs w:val="28"/>
              </w:rPr>
            </w:pPr>
          </w:p>
        </w:tc>
        <w:tc>
          <w:tcPr>
            <w:tcW w:w="2524" w:type="dxa"/>
            <w:tcBorders>
              <w:bottom w:val="single" w:color="auto" w:sz="8" w:space="0"/>
            </w:tcBorders>
            <w:vAlign w:val="bottom"/>
          </w:tcPr>
          <w:p>
            <w:pPr>
              <w:spacing w:line="440" w:lineRule="exact"/>
              <w:rPr>
                <w:rFonts w:asciiTheme="minorEastAsia" w:hAnsiTheme="minorEastAsia" w:eastAsiaTheme="minorEastAsia"/>
                <w:sz w:val="28"/>
                <w:szCs w:val="28"/>
              </w:rPr>
            </w:pPr>
          </w:p>
        </w:tc>
      </w:tr>
      <w:tr>
        <w:tblPrEx>
          <w:tblCellMar>
            <w:top w:w="0" w:type="dxa"/>
            <w:left w:w="0" w:type="dxa"/>
            <w:bottom w:w="0" w:type="dxa"/>
            <w:right w:w="0" w:type="dxa"/>
          </w:tblCellMar>
        </w:tblPrEx>
        <w:trPr>
          <w:trHeight w:val="291"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vAlign w:val="bottom"/>
          </w:tcPr>
          <w:p>
            <w:pPr>
              <w:spacing w:line="440" w:lineRule="exact"/>
              <w:jc w:val="center"/>
              <w:rPr>
                <w:rFonts w:asciiTheme="minorEastAsia" w:hAnsiTheme="minorEastAsia" w:eastAsiaTheme="minorEastAsia"/>
                <w:w w:val="99"/>
                <w:sz w:val="28"/>
                <w:szCs w:val="28"/>
              </w:rPr>
            </w:pPr>
            <w:r>
              <w:rPr>
                <w:rFonts w:asciiTheme="minorEastAsia" w:hAnsiTheme="minorEastAsia" w:eastAsiaTheme="minorEastAsia"/>
                <w:w w:val="99"/>
                <w:sz w:val="28"/>
                <w:szCs w:val="28"/>
              </w:rPr>
              <w:t>院级</w:t>
            </w:r>
          </w:p>
        </w:tc>
        <w:tc>
          <w:tcPr>
            <w:tcW w:w="2524" w:type="dxa"/>
            <w:vAlign w:val="bottom"/>
          </w:tcPr>
          <w:p>
            <w:pPr>
              <w:spacing w:line="440" w:lineRule="exact"/>
              <w:ind w:left="160"/>
              <w:rPr>
                <w:rFonts w:asciiTheme="minorEastAsia" w:hAnsiTheme="minorEastAsia" w:eastAsiaTheme="minorEastAsia"/>
                <w:sz w:val="28"/>
                <w:szCs w:val="28"/>
              </w:rPr>
            </w:pPr>
            <w:r>
              <w:rPr>
                <w:rFonts w:asciiTheme="minorEastAsia" w:hAnsiTheme="minorEastAsia" w:eastAsiaTheme="minorEastAsia"/>
                <w:sz w:val="28"/>
                <w:szCs w:val="28"/>
              </w:rPr>
              <w:t>个人：0.5 分/人</w:t>
            </w:r>
          </w:p>
        </w:tc>
      </w:tr>
      <w:tr>
        <w:tblPrEx>
          <w:tblCellMar>
            <w:top w:w="0" w:type="dxa"/>
            <w:left w:w="0" w:type="dxa"/>
            <w:bottom w:w="0" w:type="dxa"/>
            <w:right w:w="0" w:type="dxa"/>
          </w:tblCellMar>
        </w:tblPrEx>
        <w:trPr>
          <w:trHeight w:val="286" w:hRule="atLeast"/>
        </w:trPr>
        <w:tc>
          <w:tcPr>
            <w:tcW w:w="355" w:type="dxa"/>
            <w:vAlign w:val="bottom"/>
          </w:tcPr>
          <w:p>
            <w:pPr>
              <w:spacing w:line="440" w:lineRule="exact"/>
              <w:rPr>
                <w:rFonts w:asciiTheme="minorEastAsia" w:hAnsiTheme="minorEastAsia" w:eastAsiaTheme="minorEastAsia"/>
                <w:sz w:val="28"/>
                <w:szCs w:val="28"/>
              </w:rPr>
            </w:pPr>
          </w:p>
        </w:tc>
        <w:tc>
          <w:tcPr>
            <w:tcW w:w="1940" w:type="dxa"/>
            <w:vAlign w:val="bottom"/>
          </w:tcPr>
          <w:p>
            <w:pPr>
              <w:spacing w:line="440" w:lineRule="exact"/>
              <w:rPr>
                <w:rFonts w:asciiTheme="minorEastAsia" w:hAnsiTheme="minorEastAsia" w:eastAsiaTheme="minorEastAsia"/>
                <w:sz w:val="28"/>
                <w:szCs w:val="28"/>
              </w:rPr>
            </w:pPr>
          </w:p>
        </w:tc>
        <w:tc>
          <w:tcPr>
            <w:tcW w:w="2524" w:type="dxa"/>
            <w:vAlign w:val="bottom"/>
          </w:tcPr>
          <w:p>
            <w:pPr>
              <w:spacing w:line="440" w:lineRule="exact"/>
              <w:ind w:left="160"/>
              <w:rPr>
                <w:rFonts w:asciiTheme="minorEastAsia" w:hAnsiTheme="minorEastAsia" w:eastAsiaTheme="minorEastAsia"/>
                <w:sz w:val="28"/>
                <w:szCs w:val="28"/>
              </w:rPr>
            </w:pPr>
            <w:r>
              <w:rPr>
                <w:rFonts w:asciiTheme="minorEastAsia" w:hAnsiTheme="minorEastAsia" w:eastAsiaTheme="minorEastAsia"/>
                <w:sz w:val="28"/>
                <w:szCs w:val="28"/>
              </w:rPr>
              <w:t>团体：0.25 分/人</w:t>
            </w:r>
          </w:p>
        </w:tc>
      </w:tr>
      <w:tr>
        <w:tblPrEx>
          <w:tblCellMar>
            <w:top w:w="0" w:type="dxa"/>
            <w:left w:w="0" w:type="dxa"/>
            <w:bottom w:w="0" w:type="dxa"/>
            <w:right w:w="0" w:type="dxa"/>
          </w:tblCellMar>
        </w:tblPrEx>
        <w:trPr>
          <w:trHeight w:val="38" w:hRule="atLeast"/>
        </w:trPr>
        <w:tc>
          <w:tcPr>
            <w:tcW w:w="355" w:type="dxa"/>
            <w:tcBorders>
              <w:bottom w:val="single" w:color="auto" w:sz="8" w:space="0"/>
            </w:tcBorders>
            <w:vAlign w:val="bottom"/>
          </w:tcPr>
          <w:p>
            <w:pPr>
              <w:spacing w:line="440" w:lineRule="exact"/>
              <w:rPr>
                <w:rFonts w:asciiTheme="minorEastAsia" w:hAnsiTheme="minorEastAsia" w:eastAsiaTheme="minorEastAsia"/>
                <w:sz w:val="28"/>
                <w:szCs w:val="28"/>
              </w:rPr>
            </w:pPr>
          </w:p>
        </w:tc>
        <w:tc>
          <w:tcPr>
            <w:tcW w:w="1940" w:type="dxa"/>
            <w:tcBorders>
              <w:bottom w:val="single" w:color="auto" w:sz="8" w:space="0"/>
            </w:tcBorders>
            <w:vAlign w:val="bottom"/>
          </w:tcPr>
          <w:p>
            <w:pPr>
              <w:spacing w:line="440" w:lineRule="exact"/>
              <w:rPr>
                <w:rFonts w:asciiTheme="minorEastAsia" w:hAnsiTheme="minorEastAsia" w:eastAsiaTheme="minorEastAsia"/>
                <w:sz w:val="28"/>
                <w:szCs w:val="28"/>
              </w:rPr>
            </w:pPr>
          </w:p>
        </w:tc>
        <w:tc>
          <w:tcPr>
            <w:tcW w:w="2524" w:type="dxa"/>
            <w:tcBorders>
              <w:bottom w:val="single" w:color="auto" w:sz="8" w:space="0"/>
            </w:tcBorders>
            <w:vAlign w:val="bottom"/>
          </w:tcPr>
          <w:p>
            <w:pPr>
              <w:spacing w:line="440" w:lineRule="exact"/>
              <w:rPr>
                <w:rFonts w:asciiTheme="minorEastAsia" w:hAnsiTheme="minorEastAsia" w:eastAsiaTheme="minorEastAsia"/>
                <w:sz w:val="28"/>
                <w:szCs w:val="28"/>
              </w:rPr>
            </w:pPr>
          </w:p>
        </w:tc>
      </w:tr>
    </w:tbl>
    <w:p>
      <w:pPr>
        <w:spacing w:line="440" w:lineRule="exact"/>
        <w:rPr>
          <w:rFonts w:hint="default" w:asciiTheme="minorEastAsia" w:hAnsiTheme="minorEastAsia" w:eastAsiaTheme="minorEastAsia"/>
          <w:sz w:val="28"/>
          <w:szCs w:val="28"/>
          <w:lang w:val="en-US" w:eastAsia="zh-CN"/>
        </w:rPr>
        <w:sectPr>
          <w:pgSz w:w="11900" w:h="16838"/>
          <w:pgMar w:top="1440" w:right="1780" w:bottom="1440" w:left="1800" w:header="0" w:footer="0" w:gutter="0"/>
          <w:cols w:space="720" w:num="1"/>
          <w:docGrid w:linePitch="360" w:charSpace="0"/>
        </w:sectPr>
      </w:pPr>
    </w:p>
    <w:p>
      <w:pPr>
        <w:tabs>
          <w:tab w:val="left" w:pos="3940"/>
        </w:tabs>
        <w:spacing w:line="440" w:lineRule="exact"/>
        <w:ind w:left="2460"/>
        <w:rPr>
          <w:rFonts w:asciiTheme="minorEastAsia" w:hAnsiTheme="minorEastAsia" w:eastAsiaTheme="minorEastAsia"/>
          <w:b/>
          <w:sz w:val="28"/>
          <w:szCs w:val="28"/>
        </w:rPr>
      </w:pPr>
      <w:bookmarkStart w:id="0" w:name="page2"/>
      <w:bookmarkEnd w:id="0"/>
      <w:r>
        <w:rPr>
          <w:rFonts w:asciiTheme="minorEastAsia" w:hAnsiTheme="minorEastAsia" w:eastAsiaTheme="minorEastAsia"/>
          <w:b/>
          <w:sz w:val="28"/>
          <w:szCs w:val="28"/>
        </w:rPr>
        <w:t>第三章</w:t>
      </w:r>
      <w:r>
        <w:rPr>
          <w:rFonts w:asciiTheme="minorEastAsia" w:hAnsiTheme="minorEastAsia" w:eastAsiaTheme="minorEastAsia"/>
          <w:sz w:val="28"/>
          <w:szCs w:val="28"/>
        </w:rPr>
        <w:tab/>
      </w:r>
      <w:r>
        <w:rPr>
          <w:rFonts w:asciiTheme="minorEastAsia" w:hAnsiTheme="minorEastAsia" w:eastAsiaTheme="minorEastAsia"/>
          <w:b/>
          <w:sz w:val="28"/>
          <w:szCs w:val="28"/>
        </w:rPr>
        <w:t>综合测评的实施</w:t>
      </w: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r>
        <w:rPr>
          <w:rFonts w:asciiTheme="minorEastAsia" w:hAnsiTheme="minorEastAsia" w:eastAsiaTheme="minorEastAsia"/>
          <w:b/>
          <w:sz w:val="28"/>
          <w:szCs w:val="28"/>
        </w:rPr>
        <w:t>第</w:t>
      </w:r>
      <w:r>
        <w:rPr>
          <w:rFonts w:hint="eastAsia" w:asciiTheme="minorEastAsia" w:hAnsiTheme="minorEastAsia" w:eastAsiaTheme="minorEastAsia"/>
          <w:b/>
          <w:sz w:val="28"/>
          <w:szCs w:val="28"/>
        </w:rPr>
        <w:t>五</w:t>
      </w:r>
      <w:r>
        <w:rPr>
          <w:rFonts w:asciiTheme="minorEastAsia" w:hAnsiTheme="minorEastAsia" w:eastAsiaTheme="minorEastAsia"/>
          <w:b/>
          <w:sz w:val="28"/>
          <w:szCs w:val="28"/>
        </w:rPr>
        <w:t>条</w:t>
      </w:r>
      <w:r>
        <w:rPr>
          <w:rFonts w:hint="eastAsia" w:asciiTheme="minorEastAsia" w:hAnsiTheme="minorEastAsia" w:eastAsiaTheme="minorEastAsia"/>
          <w:sz w:val="28"/>
          <w:szCs w:val="28"/>
        </w:rPr>
        <w:t xml:space="preserve"> 各项活动原则上</w:t>
      </w:r>
      <w:r>
        <w:rPr>
          <w:rFonts w:asciiTheme="minorEastAsia" w:hAnsiTheme="minorEastAsia" w:eastAsiaTheme="minorEastAsia"/>
          <w:sz w:val="28"/>
          <w:szCs w:val="28"/>
        </w:rPr>
        <w:t>均应由教育部、团中央、省教育厅、团省委、学校、农学院主办的活动，</w:t>
      </w:r>
      <w:r>
        <w:rPr>
          <w:rFonts w:hint="eastAsia" w:asciiTheme="minorEastAsia" w:hAnsiTheme="minorEastAsia" w:eastAsiaTheme="minorEastAsia"/>
          <w:sz w:val="28"/>
          <w:szCs w:val="28"/>
        </w:rPr>
        <w:t>以章为准。</w:t>
      </w:r>
      <w:r>
        <w:rPr>
          <w:rFonts w:asciiTheme="minorEastAsia" w:hAnsiTheme="minorEastAsia" w:eastAsiaTheme="minorEastAsia"/>
          <w:sz w:val="28"/>
          <w:szCs w:val="28"/>
        </w:rPr>
        <w:t>如其他社会部门或其他学院举办的活动，均不予加分。如有特殊情况，需由测评小组认定。</w:t>
      </w:r>
    </w:p>
    <w:p>
      <w:pPr>
        <w:spacing w:line="440" w:lineRule="exact"/>
        <w:rPr>
          <w:rFonts w:asciiTheme="minorEastAsia" w:hAnsiTheme="minorEastAsia" w:eastAsiaTheme="minorEastAsia"/>
          <w:sz w:val="28"/>
          <w:szCs w:val="28"/>
        </w:rPr>
      </w:pPr>
      <w:r>
        <w:rPr>
          <w:rFonts w:asciiTheme="minorEastAsia" w:hAnsiTheme="minorEastAsia" w:eastAsiaTheme="minorEastAsia"/>
          <w:b/>
          <w:sz w:val="28"/>
          <w:szCs w:val="28"/>
        </w:rPr>
        <w:t>第</w:t>
      </w:r>
      <w:r>
        <w:rPr>
          <w:rFonts w:hint="eastAsia" w:asciiTheme="minorEastAsia" w:hAnsiTheme="minorEastAsia" w:eastAsiaTheme="minorEastAsia"/>
          <w:b/>
          <w:sz w:val="28"/>
          <w:szCs w:val="28"/>
        </w:rPr>
        <w:t>六</w:t>
      </w:r>
      <w:r>
        <w:rPr>
          <w:rFonts w:asciiTheme="minorEastAsia" w:hAnsiTheme="minorEastAsia" w:eastAsiaTheme="minorEastAsia"/>
          <w:b/>
          <w:sz w:val="28"/>
          <w:szCs w:val="28"/>
        </w:rPr>
        <w:t>条</w:t>
      </w:r>
      <w:r>
        <w:rPr>
          <w:rFonts w:hint="eastAsia" w:asciiTheme="minorEastAsia" w:hAnsiTheme="minorEastAsia" w:eastAsiaTheme="minorEastAsia"/>
          <w:b/>
          <w:sz w:val="28"/>
          <w:szCs w:val="28"/>
        </w:rPr>
        <w:t xml:space="preserve"> </w:t>
      </w:r>
      <w:r>
        <w:rPr>
          <w:rFonts w:asciiTheme="minorEastAsia" w:hAnsiTheme="minorEastAsia" w:eastAsiaTheme="minorEastAsia"/>
          <w:sz w:val="28"/>
          <w:szCs w:val="28"/>
        </w:rPr>
        <w:t>学院各组织，部门组织活动给予加分时，应严格按照学校及学院的综合测评加分细节规定，并与农学院奖助贷中心讨论批准后方可公布。团委组织部将定期公布学院组织、团委学生会各部门举办的各类活动的加分分值和加分名单。</w:t>
      </w:r>
    </w:p>
    <w:p>
      <w:pPr>
        <w:tabs>
          <w:tab w:val="left" w:pos="985"/>
        </w:tabs>
        <w:spacing w:line="440" w:lineRule="exact"/>
        <w:rPr>
          <w:rFonts w:asciiTheme="minorEastAsia" w:hAnsiTheme="minorEastAsia" w:eastAsiaTheme="minorEastAsia"/>
          <w:sz w:val="28"/>
          <w:szCs w:val="28"/>
        </w:rPr>
      </w:pPr>
      <w:r>
        <w:rPr>
          <w:rFonts w:asciiTheme="minorEastAsia" w:hAnsiTheme="minorEastAsia" w:eastAsiaTheme="minorEastAsia"/>
          <w:b/>
          <w:sz w:val="28"/>
          <w:szCs w:val="28"/>
        </w:rPr>
        <w:t>第七条</w:t>
      </w:r>
      <w:r>
        <w:rPr>
          <w:rFonts w:asciiTheme="minorEastAsia" w:hAnsiTheme="minorEastAsia" w:eastAsiaTheme="minorEastAsia"/>
          <w:sz w:val="28"/>
          <w:szCs w:val="28"/>
        </w:rPr>
        <w:tab/>
      </w:r>
      <w:r>
        <w:rPr>
          <w:rFonts w:asciiTheme="minorEastAsia" w:hAnsiTheme="minorEastAsia" w:eastAsiaTheme="minorEastAsia"/>
          <w:sz w:val="28"/>
          <w:szCs w:val="28"/>
        </w:rPr>
        <w:t>班内互评分由班级测评小组统计出每个同学的分数，填写到班内互评分汇总表，签名确认后交年级测评小组。所有加分材料都需要提供纸质版，无纸质版不予加分。</w:t>
      </w:r>
    </w:p>
    <w:p>
      <w:pPr>
        <w:spacing w:line="440" w:lineRule="exact"/>
        <w:rPr>
          <w:rFonts w:hint="eastAsia" w:asciiTheme="minorEastAsia" w:hAnsiTheme="minorEastAsia" w:eastAsiaTheme="minorEastAsia"/>
          <w:sz w:val="28"/>
          <w:szCs w:val="28"/>
          <w:lang w:val="en-US" w:eastAsia="zh-CN"/>
        </w:rPr>
      </w:pPr>
      <w:r>
        <w:rPr>
          <w:rFonts w:hint="eastAsia" w:asciiTheme="minorEastAsia" w:hAnsiTheme="minorEastAsia" w:eastAsiaTheme="minorEastAsia"/>
          <w:b/>
          <w:bCs/>
          <w:sz w:val="28"/>
          <w:szCs w:val="28"/>
          <w:lang w:val="en-US" w:eastAsia="zh-CN"/>
        </w:rPr>
        <w:t>第八条</w:t>
      </w:r>
      <w:r>
        <w:rPr>
          <w:rFonts w:hint="eastAsia" w:asciiTheme="minorEastAsia" w:hAnsiTheme="minorEastAsia" w:eastAsiaTheme="minorEastAsia"/>
          <w:sz w:val="28"/>
          <w:szCs w:val="28"/>
          <w:lang w:val="en-US" w:eastAsia="zh-CN"/>
        </w:rPr>
        <w:t xml:space="preserve"> 农学院若无提前说明此项活动有活动参与分，学生自行参加活动不予以加分。</w:t>
      </w:r>
    </w:p>
    <w:p>
      <w:pPr>
        <w:tabs>
          <w:tab w:val="left" w:pos="985"/>
        </w:tabs>
        <w:spacing w:line="440" w:lineRule="exact"/>
        <w:rPr>
          <w:rFonts w:asciiTheme="minorEastAsia" w:hAnsiTheme="minorEastAsia" w:eastAsiaTheme="minorEastAsia"/>
          <w:sz w:val="28"/>
          <w:szCs w:val="28"/>
        </w:rPr>
      </w:pPr>
      <w:r>
        <w:rPr>
          <w:rFonts w:hint="eastAsia" w:asciiTheme="minorEastAsia" w:hAnsiTheme="minorEastAsia" w:eastAsiaTheme="minorEastAsia"/>
          <w:b/>
          <w:bCs/>
          <w:sz w:val="28"/>
          <w:szCs w:val="28"/>
          <w:lang w:val="en-US" w:eastAsia="zh-CN"/>
        </w:rPr>
        <w:t>第九条</w:t>
      </w:r>
      <w:r>
        <w:rPr>
          <w:rFonts w:hint="eastAsia" w:asciiTheme="minorEastAsia" w:hAnsiTheme="minorEastAsia" w:eastAsiaTheme="minorEastAsia"/>
          <w:sz w:val="28"/>
          <w:szCs w:val="28"/>
          <w:lang w:val="en-US" w:eastAsia="zh-CN"/>
        </w:rPr>
        <w:t xml:space="preserve"> 所有获奖的加分：五四评优，校级模范引领之星和农学院组织的活动和比赛在不与其它细则冲突的情况下，加分不限制次数； 参与学校机关部处及校外的活动获奖原则上只能加分1次，并且参赛时需代表农学院或者华南农业大学。德育加分的等级按照盖章单位进行确定，智育的加分等级可以参考创新创业学院进行认定。</w:t>
      </w:r>
    </w:p>
    <w:p>
      <w:pPr>
        <w:spacing w:line="440" w:lineRule="exact"/>
        <w:rPr>
          <w:rFonts w:asciiTheme="minorEastAsia" w:hAnsiTheme="minorEastAsia" w:eastAsiaTheme="minorEastAsia"/>
          <w:sz w:val="28"/>
          <w:szCs w:val="28"/>
        </w:rPr>
      </w:pPr>
    </w:p>
    <w:p>
      <w:pPr>
        <w:tabs>
          <w:tab w:val="left" w:pos="3880"/>
        </w:tabs>
        <w:spacing w:line="440" w:lineRule="exact"/>
        <w:ind w:left="2500"/>
        <w:rPr>
          <w:rFonts w:asciiTheme="minorEastAsia" w:hAnsiTheme="minorEastAsia" w:eastAsiaTheme="minorEastAsia"/>
          <w:b/>
          <w:sz w:val="28"/>
          <w:szCs w:val="28"/>
        </w:rPr>
      </w:pPr>
      <w:r>
        <w:rPr>
          <w:rFonts w:asciiTheme="minorEastAsia" w:hAnsiTheme="minorEastAsia" w:eastAsiaTheme="minorEastAsia"/>
          <w:b/>
          <w:sz w:val="28"/>
          <w:szCs w:val="28"/>
        </w:rPr>
        <w:t>第四章</w:t>
      </w:r>
      <w:r>
        <w:rPr>
          <w:rFonts w:asciiTheme="minorEastAsia" w:hAnsiTheme="minorEastAsia" w:eastAsiaTheme="minorEastAsia"/>
          <w:sz w:val="28"/>
          <w:szCs w:val="28"/>
        </w:rPr>
        <w:tab/>
      </w:r>
      <w:r>
        <w:rPr>
          <w:rFonts w:asciiTheme="minorEastAsia" w:hAnsiTheme="minorEastAsia" w:eastAsiaTheme="minorEastAsia"/>
          <w:b/>
          <w:sz w:val="28"/>
          <w:szCs w:val="28"/>
        </w:rPr>
        <w:t>奖学金的评定</w:t>
      </w:r>
    </w:p>
    <w:p>
      <w:pPr>
        <w:tabs>
          <w:tab w:val="left" w:pos="985"/>
        </w:tabs>
        <w:spacing w:line="440" w:lineRule="exact"/>
        <w:rPr>
          <w:rFonts w:asciiTheme="minorEastAsia" w:hAnsiTheme="minorEastAsia" w:eastAsiaTheme="minorEastAsia"/>
          <w:sz w:val="28"/>
          <w:szCs w:val="28"/>
        </w:rPr>
      </w:pPr>
      <w:r>
        <w:rPr>
          <w:rFonts w:asciiTheme="minorEastAsia" w:hAnsiTheme="minorEastAsia" w:eastAsiaTheme="minorEastAsia"/>
          <w:b/>
          <w:sz w:val="28"/>
          <w:szCs w:val="28"/>
        </w:rPr>
        <w:t>第</w:t>
      </w:r>
      <w:r>
        <w:rPr>
          <w:rFonts w:hint="eastAsia" w:asciiTheme="minorEastAsia" w:hAnsiTheme="minorEastAsia" w:eastAsiaTheme="minorEastAsia"/>
          <w:b/>
          <w:sz w:val="28"/>
          <w:szCs w:val="28"/>
          <w:lang w:eastAsia="zh-CN"/>
        </w:rPr>
        <w:t>十</w:t>
      </w:r>
      <w:r>
        <w:rPr>
          <w:rFonts w:asciiTheme="minorEastAsia" w:hAnsiTheme="minorEastAsia" w:eastAsiaTheme="minorEastAsia"/>
          <w:b/>
          <w:sz w:val="28"/>
          <w:szCs w:val="28"/>
        </w:rPr>
        <w:t>条</w:t>
      </w:r>
      <w:r>
        <w:rPr>
          <w:rFonts w:hint="eastAsia" w:asciiTheme="minorEastAsia" w:hAnsiTheme="minorEastAsia" w:eastAsiaTheme="minorEastAsia"/>
          <w:b/>
          <w:sz w:val="28"/>
          <w:szCs w:val="28"/>
        </w:rPr>
        <w:t xml:space="preserve"> </w:t>
      </w:r>
      <w:r>
        <w:rPr>
          <w:rFonts w:asciiTheme="minorEastAsia" w:hAnsiTheme="minorEastAsia" w:eastAsiaTheme="minorEastAsia"/>
          <w:sz w:val="28"/>
          <w:szCs w:val="28"/>
        </w:rPr>
        <w:tab/>
      </w:r>
      <w:r>
        <w:rPr>
          <w:rFonts w:asciiTheme="minorEastAsia" w:hAnsiTheme="minorEastAsia" w:eastAsiaTheme="minorEastAsia"/>
          <w:sz w:val="28"/>
          <w:szCs w:val="28"/>
        </w:rPr>
        <w:t>奖学金评定说明</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丁颖创新班综合测评单独排名，其余学生综合测评按照年级排名。</w:t>
      </w:r>
    </w:p>
    <w:p>
      <w:pPr>
        <w:spacing w:line="440" w:lineRule="exact"/>
        <w:rPr>
          <w:rFonts w:asciiTheme="minorEastAsia" w:hAnsiTheme="minorEastAsia" w:eastAsiaTheme="minorEastAsia"/>
          <w:sz w:val="28"/>
          <w:szCs w:val="28"/>
        </w:rPr>
      </w:pPr>
    </w:p>
    <w:p>
      <w:pPr>
        <w:tabs>
          <w:tab w:val="left" w:pos="4240"/>
        </w:tabs>
        <w:spacing w:line="440" w:lineRule="exact"/>
        <w:ind w:left="2440"/>
        <w:rPr>
          <w:rFonts w:asciiTheme="minorEastAsia" w:hAnsiTheme="minorEastAsia" w:eastAsiaTheme="minorEastAsia"/>
          <w:b/>
          <w:sz w:val="28"/>
          <w:szCs w:val="28"/>
        </w:rPr>
      </w:pPr>
      <w:r>
        <w:rPr>
          <w:rFonts w:asciiTheme="minorEastAsia" w:hAnsiTheme="minorEastAsia" w:eastAsiaTheme="minorEastAsia"/>
          <w:b/>
          <w:sz w:val="28"/>
          <w:szCs w:val="28"/>
        </w:rPr>
        <w:t>第五章</w:t>
      </w:r>
      <w:r>
        <w:rPr>
          <w:rFonts w:asciiTheme="minorEastAsia" w:hAnsiTheme="minorEastAsia" w:eastAsiaTheme="minorEastAsia"/>
          <w:sz w:val="28"/>
          <w:szCs w:val="28"/>
        </w:rPr>
        <w:tab/>
      </w:r>
      <w:r>
        <w:rPr>
          <w:rFonts w:asciiTheme="minorEastAsia" w:hAnsiTheme="minorEastAsia" w:eastAsiaTheme="minorEastAsia"/>
          <w:b/>
          <w:sz w:val="28"/>
          <w:szCs w:val="28"/>
        </w:rPr>
        <w:t>附则</w:t>
      </w: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r>
        <w:rPr>
          <w:rFonts w:asciiTheme="minorEastAsia" w:hAnsiTheme="minorEastAsia" w:eastAsiaTheme="minorEastAsia"/>
          <w:b/>
          <w:sz w:val="28"/>
          <w:szCs w:val="28"/>
        </w:rPr>
        <w:t>第</w:t>
      </w:r>
      <w:r>
        <w:rPr>
          <w:rFonts w:hint="eastAsia" w:asciiTheme="minorEastAsia" w:hAnsiTheme="minorEastAsia" w:eastAsiaTheme="minorEastAsia"/>
          <w:b/>
          <w:sz w:val="28"/>
          <w:szCs w:val="28"/>
          <w:lang w:eastAsia="zh-CN"/>
        </w:rPr>
        <w:t>十一</w:t>
      </w:r>
      <w:r>
        <w:rPr>
          <w:rFonts w:asciiTheme="minorEastAsia" w:hAnsiTheme="minorEastAsia" w:eastAsiaTheme="minorEastAsia"/>
          <w:b/>
          <w:sz w:val="28"/>
          <w:szCs w:val="28"/>
        </w:rPr>
        <w:t>条</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本办法由农学院负责解释。</w:t>
      </w:r>
    </w:p>
    <w:p>
      <w:pPr>
        <w:spacing w:line="440" w:lineRule="exact"/>
        <w:rPr>
          <w:rFonts w:hint="eastAsia" w:asciiTheme="minorEastAsia" w:hAnsiTheme="minorEastAsia" w:eastAsiaTheme="minorEastAsia"/>
          <w:sz w:val="28"/>
          <w:szCs w:val="28"/>
        </w:rPr>
      </w:pPr>
      <w:r>
        <w:rPr>
          <w:rFonts w:asciiTheme="minorEastAsia" w:hAnsiTheme="minorEastAsia" w:eastAsiaTheme="minorEastAsia"/>
          <w:b/>
          <w:sz w:val="28"/>
          <w:szCs w:val="28"/>
        </w:rPr>
        <w:t>第</w:t>
      </w:r>
      <w:r>
        <w:rPr>
          <w:rFonts w:hint="eastAsia" w:asciiTheme="minorEastAsia" w:hAnsiTheme="minorEastAsia" w:eastAsiaTheme="minorEastAsia"/>
          <w:b/>
          <w:sz w:val="28"/>
          <w:szCs w:val="28"/>
          <w:lang w:eastAsia="zh-CN"/>
        </w:rPr>
        <w:t>十二</w:t>
      </w:r>
      <w:r>
        <w:rPr>
          <w:rFonts w:asciiTheme="minorEastAsia" w:hAnsiTheme="minorEastAsia" w:eastAsiaTheme="minorEastAsia"/>
          <w:b/>
          <w:sz w:val="28"/>
          <w:szCs w:val="28"/>
        </w:rPr>
        <w:t>条</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本办法自 20</w:t>
      </w:r>
      <w:r>
        <w:rPr>
          <w:rFonts w:hint="eastAsia" w:asciiTheme="minorEastAsia" w:hAnsiTheme="minorEastAsia" w:eastAsiaTheme="minorEastAsia"/>
          <w:sz w:val="28"/>
          <w:szCs w:val="28"/>
          <w:lang w:val="en-US" w:eastAsia="zh-CN"/>
        </w:rPr>
        <w:t>20</w:t>
      </w:r>
      <w:r>
        <w:rPr>
          <w:rFonts w:asciiTheme="minorEastAsia" w:hAnsiTheme="minorEastAsia" w:eastAsiaTheme="minorEastAsia"/>
          <w:sz w:val="28"/>
          <w:szCs w:val="28"/>
        </w:rPr>
        <w:t>年</w:t>
      </w:r>
      <w:bookmarkStart w:id="1" w:name="_GoBack"/>
      <w:bookmarkEnd w:id="1"/>
      <w:r>
        <w:rPr>
          <w:rFonts w:hint="eastAsia" w:asciiTheme="minorEastAsia" w:hAnsiTheme="minorEastAsia" w:eastAsiaTheme="minorEastAsia"/>
          <w:sz w:val="28"/>
          <w:szCs w:val="28"/>
          <w:lang w:val="en-US" w:eastAsia="zh-CN"/>
        </w:rPr>
        <w:t>2</w:t>
      </w:r>
      <w:r>
        <w:rPr>
          <w:rFonts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w:t>
      </w:r>
      <w:r>
        <w:rPr>
          <w:rFonts w:asciiTheme="minorEastAsia" w:hAnsiTheme="minorEastAsia" w:eastAsiaTheme="minorEastAsia"/>
          <w:sz w:val="28"/>
          <w:szCs w:val="28"/>
        </w:rPr>
        <w:t>日开始执行</w:t>
      </w:r>
      <w:r>
        <w:rPr>
          <w:rFonts w:hint="eastAsia" w:asciiTheme="minorEastAsia" w:hAnsiTheme="minorEastAsia" w:eastAsiaTheme="minorEastAsia"/>
          <w:sz w:val="28"/>
          <w:szCs w:val="28"/>
        </w:rPr>
        <w:t>。</w:t>
      </w:r>
    </w:p>
    <w:p>
      <w:pPr>
        <w:spacing w:line="440" w:lineRule="exact"/>
        <w:rPr>
          <w:rFonts w:hint="default" w:asciiTheme="minorEastAsia" w:hAnsiTheme="minorEastAsia" w:eastAsia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BAF3A"/>
    <w:multiLevelType w:val="singleLevel"/>
    <w:tmpl w:val="EDABAF3A"/>
    <w:lvl w:ilvl="0" w:tentative="0">
      <w:start w:val="3"/>
      <w:numFmt w:val="decimal"/>
      <w:suff w:val="nothing"/>
      <w:lvlText w:val="（%1）"/>
      <w:lvlJc w:val="left"/>
    </w:lvl>
  </w:abstractNum>
  <w:abstractNum w:abstractNumId="1">
    <w:nsid w:val="00000001"/>
    <w:multiLevelType w:val="multilevel"/>
    <w:tmpl w:val="00000001"/>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BEE"/>
    <w:rsid w:val="001324CA"/>
    <w:rsid w:val="00313BEE"/>
    <w:rsid w:val="00381D31"/>
    <w:rsid w:val="00734875"/>
    <w:rsid w:val="008D34FA"/>
    <w:rsid w:val="00926EEB"/>
    <w:rsid w:val="00C51969"/>
    <w:rsid w:val="00C539B8"/>
    <w:rsid w:val="00E82FA8"/>
    <w:rsid w:val="00F157F9"/>
    <w:rsid w:val="00F76C3F"/>
    <w:rsid w:val="1400056B"/>
    <w:rsid w:val="18E15B5A"/>
    <w:rsid w:val="19C315EA"/>
    <w:rsid w:val="1D4E5F69"/>
    <w:rsid w:val="1F765679"/>
    <w:rsid w:val="2F80013D"/>
    <w:rsid w:val="31D766B1"/>
    <w:rsid w:val="32457C55"/>
    <w:rsid w:val="333E19CC"/>
    <w:rsid w:val="4DBE04A0"/>
    <w:rsid w:val="50393026"/>
    <w:rsid w:val="569A3018"/>
    <w:rsid w:val="5C666310"/>
    <w:rsid w:val="5E571B31"/>
    <w:rsid w:val="639F63B9"/>
    <w:rsid w:val="63B81A35"/>
    <w:rsid w:val="6DC632A7"/>
    <w:rsid w:val="6F9C7E26"/>
    <w:rsid w:val="71563B3B"/>
    <w:rsid w:val="7DFF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pPr>
    <w:rPr>
      <w:rFonts w:ascii="Calibri" w:hAnsi="Calibri" w:eastAsia="宋体" w:cs="Arial"/>
      <w:kern w:val="0"/>
      <w:sz w:val="20"/>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spacing w:before="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Calibri" w:hAnsi="Calibri" w:eastAsia="宋体" w:cs="Arial"/>
      <w:kern w:val="0"/>
      <w:sz w:val="18"/>
      <w:szCs w:val="18"/>
    </w:rPr>
  </w:style>
  <w:style w:type="character" w:customStyle="1" w:styleId="8">
    <w:name w:val="页脚 Char"/>
    <w:basedOn w:val="6"/>
    <w:link w:val="2"/>
    <w:semiHidden/>
    <w:qFormat/>
    <w:uiPriority w:val="99"/>
    <w:rPr>
      <w:rFonts w:ascii="Calibri" w:hAnsi="Calibri" w:eastAsia="宋体" w:cs="Arial"/>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45AA9-4046-4F69-9B67-EB653AD94AFC}">
  <ds:schemaRefs/>
</ds:datastoreItem>
</file>

<file path=docProps/app.xml><?xml version="1.0" encoding="utf-8"?>
<Properties xmlns="http://schemas.openxmlformats.org/officeDocument/2006/extended-properties" xmlns:vt="http://schemas.openxmlformats.org/officeDocument/2006/docPropsVTypes">
  <Template>Normal</Template>
  <Pages>4</Pages>
  <Words>311</Words>
  <Characters>1775</Characters>
  <Lines>14</Lines>
  <Paragraphs>4</Paragraphs>
  <TotalTime>14</TotalTime>
  <ScaleCrop>false</ScaleCrop>
  <LinksUpToDate>false</LinksUpToDate>
  <CharactersWithSpaces>2082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2018-01-03T02:19:00Z</dcterms:created>
  <dc:creator>杨宇姣</dc:creator>
  <cp:lastModifiedBy>明天会更好</cp:lastModifiedBy>
  <cp:lastPrinted>2020-01-03T07:38:00Z</cp:lastPrinted>
  <dcterms:modified xsi:type="dcterms:W3CDTF">2020-01-08T09:05:50Z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